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5A" w:rsidRPr="00B126B6" w:rsidRDefault="00B97911" w:rsidP="00622D08">
      <w:pPr>
        <w:pStyle w:val="a9"/>
        <w:kinsoku w:val="0"/>
        <w:overflowPunct w:val="0"/>
        <w:spacing w:after="60" w:line="200" w:lineRule="atLeast"/>
        <w:jc w:val="both"/>
        <w:rPr>
          <w:b/>
          <w:sz w:val="20"/>
          <w:szCs w:val="20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4923192</wp:posOffset>
            </wp:positionH>
            <wp:positionV relativeFrom="paragraph">
              <wp:posOffset>-268306</wp:posOffset>
            </wp:positionV>
            <wp:extent cx="935990" cy="645160"/>
            <wp:effectExtent l="0" t="0" r="0" b="2540"/>
            <wp:wrapNone/>
            <wp:docPr id="2" name="Рисунок 2" descr="D:\YandexDisk\Скриншоты\2018-01-25_18-34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34-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A0B" w:rsidRPr="00B126B6">
        <w:rPr>
          <w:b/>
          <w:sz w:val="28"/>
        </w:rPr>
        <w:t>Инструкция по эксплуатации</w:t>
      </w:r>
      <w:r w:rsidR="00C61A0B" w:rsidRPr="00B126B6">
        <w:rPr>
          <w:b/>
        </w:rPr>
        <w:t xml:space="preserve"> </w:t>
      </w:r>
      <w:r w:rsidR="00622D08">
        <w:rPr>
          <w:b/>
        </w:rPr>
        <w:t xml:space="preserve">  </w:t>
      </w:r>
    </w:p>
    <w:p w:rsidR="0083696F" w:rsidRPr="00B449F8" w:rsidRDefault="00C61A0B" w:rsidP="0089725A">
      <w:pPr>
        <w:jc w:val="both"/>
        <w:rPr>
          <w:b/>
          <w:sz w:val="30"/>
          <w:szCs w:val="30"/>
        </w:rPr>
      </w:pPr>
      <w:r w:rsidRPr="00B449F8">
        <w:rPr>
          <w:b/>
          <w:sz w:val="30"/>
          <w:szCs w:val="30"/>
        </w:rPr>
        <w:t>Матрица SKY «СКАЙ» из драгоценных металлов</w:t>
      </w:r>
    </w:p>
    <w:p w:rsidR="00CA3CC0" w:rsidRPr="00B126B6" w:rsidRDefault="00CA3CC0" w:rsidP="0089725A">
      <w:pPr>
        <w:jc w:val="both"/>
        <w:rPr>
          <w:b/>
        </w:rPr>
      </w:pPr>
    </w:p>
    <w:p w:rsidR="0083696F" w:rsidRPr="00B126B6" w:rsidRDefault="0083696F" w:rsidP="0089725A">
      <w:pPr>
        <w:jc w:val="both"/>
        <w:rPr>
          <w:b/>
        </w:rPr>
      </w:pPr>
      <w:r w:rsidRPr="00B126B6">
        <w:rPr>
          <w:b/>
        </w:rPr>
        <w:t xml:space="preserve">Перед </w:t>
      </w:r>
      <w:r w:rsidR="00B126B6">
        <w:rPr>
          <w:b/>
        </w:rPr>
        <w:t>использованием данного продукта</w:t>
      </w:r>
      <w:r w:rsidRPr="00B126B6">
        <w:rPr>
          <w:b/>
        </w:rPr>
        <w:t xml:space="preserve"> необходимо внимательно прочитать настоящую инструкцию!</w:t>
      </w:r>
      <w:r w:rsidRPr="00B126B6">
        <w:t xml:space="preserve"> </w:t>
      </w:r>
      <w:r w:rsidRPr="00B126B6">
        <w:rPr>
          <w:b/>
        </w:rPr>
        <w:t>Производитель не несет ответственности за вред, причиненный вследствие невыполнения настоящей инструкции по эксплуатации.</w:t>
      </w:r>
    </w:p>
    <w:p w:rsidR="0089725A" w:rsidRPr="00B126B6" w:rsidRDefault="0089725A" w:rsidP="0089725A">
      <w:pPr>
        <w:jc w:val="both"/>
      </w:pPr>
    </w:p>
    <w:p w:rsidR="0089725A" w:rsidRPr="00622D08" w:rsidRDefault="0083696F" w:rsidP="0089725A">
      <w:pPr>
        <w:jc w:val="both"/>
        <w:rPr>
          <w:b/>
        </w:rPr>
      </w:pPr>
      <w:r w:rsidRPr="00B126B6">
        <w:rPr>
          <w:b/>
        </w:rPr>
        <w:t>1.</w:t>
      </w:r>
      <w:r w:rsidRPr="00B126B6">
        <w:rPr>
          <w:b/>
        </w:rPr>
        <w:tab/>
        <w:t>Описание продукта</w:t>
      </w:r>
    </w:p>
    <w:p w:rsidR="0089725A" w:rsidRPr="00B126B6" w:rsidRDefault="0083696F" w:rsidP="0089725A">
      <w:pPr>
        <w:jc w:val="both"/>
      </w:pPr>
      <w:r w:rsidRPr="00B126B6">
        <w:t xml:space="preserve">Активируемые и деактивируемые </w:t>
      </w:r>
      <w:r w:rsidR="00622D08">
        <w:t>матрицы из драгоценных металлов.</w:t>
      </w:r>
    </w:p>
    <w:p w:rsidR="0089725A" w:rsidRPr="00622D08" w:rsidRDefault="0083696F" w:rsidP="00567F4D">
      <w:pPr>
        <w:spacing w:before="60"/>
        <w:jc w:val="both"/>
        <w:rPr>
          <w:b/>
        </w:rPr>
      </w:pPr>
      <w:r w:rsidRPr="00B126B6">
        <w:rPr>
          <w:b/>
        </w:rPr>
        <w:t>2.</w:t>
      </w:r>
      <w:r w:rsidRPr="00B126B6">
        <w:rPr>
          <w:b/>
        </w:rPr>
        <w:tab/>
        <w:t>Диапазон показаний</w:t>
      </w:r>
    </w:p>
    <w:p w:rsidR="0089725A" w:rsidRPr="00B126B6" w:rsidRDefault="0083696F" w:rsidP="0089725A">
      <w:pPr>
        <w:jc w:val="both"/>
      </w:pPr>
      <w:r w:rsidRPr="00B126B6">
        <w:t xml:space="preserve">Съемные, несъемные жесткие или </w:t>
      </w:r>
      <w:r w:rsidR="00B126B6">
        <w:t xml:space="preserve">упругие </w:t>
      </w:r>
      <w:r w:rsidRPr="00B126B6">
        <w:t xml:space="preserve">протезы с </w:t>
      </w:r>
      <w:proofErr w:type="spellStart"/>
      <w:r w:rsidRPr="00B126B6">
        <w:t>аттачментом</w:t>
      </w:r>
      <w:proofErr w:type="spellEnd"/>
      <w:r w:rsidRPr="00B126B6">
        <w:t xml:space="preserve"> SKY «С</w:t>
      </w:r>
      <w:r w:rsidR="00B126B6">
        <w:t>КАЙ» с шаровой головкой или однокомпонентные имплантаты</w:t>
      </w:r>
      <w:r w:rsidRPr="00B126B6">
        <w:t xml:space="preserve"> mini</w:t>
      </w:r>
      <w:r w:rsidRPr="00622D08">
        <w:rPr>
          <w:vertAlign w:val="superscript"/>
        </w:rPr>
        <w:t>1</w:t>
      </w:r>
      <w:r w:rsidRPr="00B126B6">
        <w:t>SKY «мини</w:t>
      </w:r>
      <w:r w:rsidRPr="00622D08">
        <w:rPr>
          <w:vertAlign w:val="superscript"/>
        </w:rPr>
        <w:t>1</w:t>
      </w:r>
      <w:r w:rsidRPr="00B126B6">
        <w:t>СКАЙ»</w:t>
      </w:r>
      <w:r w:rsidR="00622D08">
        <w:t>.</w:t>
      </w:r>
    </w:p>
    <w:p w:rsidR="0089725A" w:rsidRPr="00622D08" w:rsidRDefault="0083696F" w:rsidP="00567F4D">
      <w:pPr>
        <w:spacing w:before="60"/>
        <w:jc w:val="both"/>
        <w:rPr>
          <w:b/>
        </w:rPr>
      </w:pPr>
      <w:r w:rsidRPr="00B126B6">
        <w:rPr>
          <w:b/>
        </w:rPr>
        <w:t>3.</w:t>
      </w:r>
      <w:r w:rsidRPr="00B126B6">
        <w:rPr>
          <w:b/>
        </w:rPr>
        <w:tab/>
        <w:t>Противопоказания</w:t>
      </w:r>
    </w:p>
    <w:p w:rsidR="0089725A" w:rsidRPr="00B126B6" w:rsidRDefault="0083696F" w:rsidP="0089725A">
      <w:pPr>
        <w:jc w:val="both"/>
      </w:pPr>
      <w:r w:rsidRPr="00B126B6">
        <w:t>Односторонние протезы концевого седла без поперечной поддержки.</w:t>
      </w:r>
    </w:p>
    <w:p w:rsidR="000F77B5" w:rsidRPr="00622D08" w:rsidRDefault="0083696F" w:rsidP="00567F4D">
      <w:pPr>
        <w:spacing w:before="60"/>
        <w:jc w:val="both"/>
        <w:rPr>
          <w:b/>
        </w:rPr>
      </w:pPr>
      <w:r w:rsidRPr="00B126B6">
        <w:rPr>
          <w:b/>
        </w:rPr>
        <w:t>4.</w:t>
      </w:r>
      <w:r w:rsidRPr="00B126B6">
        <w:rPr>
          <w:b/>
        </w:rPr>
        <w:tab/>
      </w:r>
      <w:r w:rsidR="000F77B5" w:rsidRPr="001732F2">
        <w:rPr>
          <w:b/>
        </w:rPr>
        <w:t>Рекомендации по технике безопасности и предупреждение об имеющихся опасностях</w:t>
      </w:r>
    </w:p>
    <w:p w:rsidR="0083696F" w:rsidRPr="00B126B6" w:rsidRDefault="0083696F" w:rsidP="0089725A">
      <w:pPr>
        <w:jc w:val="both"/>
      </w:pPr>
      <w:r w:rsidRPr="00B126B6">
        <w:t xml:space="preserve">Необходимо записывать номер партии всех компонентов для обеспечения </w:t>
      </w:r>
      <w:proofErr w:type="spellStart"/>
      <w:r w:rsidRPr="00B126B6">
        <w:t>прослеживаемости</w:t>
      </w:r>
      <w:proofErr w:type="spellEnd"/>
      <w:r w:rsidRPr="00B126B6">
        <w:t xml:space="preserve"> и работы с рекламациями. Активация, деактивация, ремонт и регулярное обслуживание </w:t>
      </w:r>
      <w:proofErr w:type="spellStart"/>
      <w:r w:rsidRPr="00B126B6">
        <w:t>аттачментов</w:t>
      </w:r>
      <w:proofErr w:type="spellEnd"/>
      <w:r w:rsidRPr="00B126B6">
        <w:t xml:space="preserve"> может выполняться только обученным персоналом с применением оригинальных инструментов и компонентов.</w:t>
      </w:r>
    </w:p>
    <w:p w:rsidR="0083696F" w:rsidRPr="00B126B6" w:rsidRDefault="0083696F" w:rsidP="0089725A">
      <w:pPr>
        <w:jc w:val="both"/>
      </w:pPr>
      <w:r w:rsidRPr="00B126B6">
        <w:t xml:space="preserve">Механическая очистка </w:t>
      </w:r>
      <w:proofErr w:type="spellStart"/>
      <w:r w:rsidRPr="00B126B6">
        <w:t>аттачментов</w:t>
      </w:r>
      <w:proofErr w:type="spellEnd"/>
      <w:r w:rsidRPr="00B126B6">
        <w:t xml:space="preserve"> зубной щеткой и пастой может привести к преждевременному износу функциональных компонентов.</w:t>
      </w:r>
    </w:p>
    <w:p w:rsidR="0083696F" w:rsidRPr="00B126B6" w:rsidRDefault="000F77B5" w:rsidP="0089725A">
      <w:pPr>
        <w:jc w:val="both"/>
      </w:pPr>
      <w:r>
        <w:t>После публикации</w:t>
      </w:r>
      <w:r w:rsidR="0083696F" w:rsidRPr="00B126B6">
        <w:t xml:space="preserve"> настоящая инструкция по эксплуатации заменяет все предыдущие издания.</w:t>
      </w:r>
    </w:p>
    <w:p w:rsidR="0089725A" w:rsidRPr="00B126B6" w:rsidRDefault="0083696F" w:rsidP="0089725A">
      <w:pPr>
        <w:jc w:val="both"/>
      </w:pPr>
      <w:r w:rsidRPr="00B126B6">
        <w:t xml:space="preserve">Данный продукт не может применяться на пациентах с известной аллергией на один или несколько компонентов, содержащихся в материалах </w:t>
      </w:r>
      <w:proofErr w:type="spellStart"/>
      <w:r w:rsidRPr="00B126B6">
        <w:t>аттачмента</w:t>
      </w:r>
      <w:proofErr w:type="spellEnd"/>
      <w:r w:rsidRPr="00B126B6">
        <w:t xml:space="preserve">. Продукт запрещается применять на пациентах с подозрением на аллергию до завершения аллергических проб, </w:t>
      </w:r>
      <w:proofErr w:type="gramStart"/>
      <w:r w:rsidRPr="00B126B6">
        <w:t>подтверждающих</w:t>
      </w:r>
      <w:proofErr w:type="gramEnd"/>
      <w:r w:rsidRPr="00B126B6">
        <w:t xml:space="preserve"> отсутствие у пациента аллергии на материалы, содержащиеся в продукте.</w:t>
      </w:r>
    </w:p>
    <w:p w:rsidR="0089725A" w:rsidRPr="00622D08" w:rsidRDefault="000F77B5" w:rsidP="00567F4D">
      <w:pPr>
        <w:spacing w:before="6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Хранение и срок службы</w:t>
      </w:r>
    </w:p>
    <w:p w:rsidR="0083696F" w:rsidRPr="00B126B6" w:rsidRDefault="0083696F" w:rsidP="0089725A">
      <w:pPr>
        <w:jc w:val="both"/>
      </w:pPr>
      <w:r w:rsidRPr="00B126B6">
        <w:t xml:space="preserve">Продукт поставляется </w:t>
      </w:r>
      <w:proofErr w:type="gramStart"/>
      <w:r w:rsidRPr="00B126B6">
        <w:t>нестерильным</w:t>
      </w:r>
      <w:proofErr w:type="gramEnd"/>
      <w:r w:rsidRPr="00B126B6">
        <w:t>, необходимо обеспечить хранение в сухом месте без пыли в оригинальной упаковке.</w:t>
      </w:r>
    </w:p>
    <w:p w:rsidR="0083696F" w:rsidRPr="00B126B6" w:rsidRDefault="00CD223B" w:rsidP="0089725A">
      <w:pPr>
        <w:jc w:val="both"/>
      </w:pPr>
      <w:r w:rsidRPr="00B126B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96BCE0" wp14:editId="66D8A036">
            <wp:simplePos x="0" y="0"/>
            <wp:positionH relativeFrom="column">
              <wp:posOffset>4903470</wp:posOffset>
            </wp:positionH>
            <wp:positionV relativeFrom="paragraph">
              <wp:posOffset>128270</wp:posOffset>
            </wp:positionV>
            <wp:extent cx="960120" cy="10331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96F" w:rsidRPr="00B126B6">
        <w:t>Содержание:</w:t>
      </w:r>
    </w:p>
    <w:p w:rsidR="0089725A" w:rsidRPr="00B126B6" w:rsidRDefault="0083696F" w:rsidP="0089725A">
      <w:pPr>
        <w:jc w:val="both"/>
      </w:pPr>
      <w:r w:rsidRPr="00B126B6">
        <w:t xml:space="preserve">1 матрица из драгоценных металлов, 2 </w:t>
      </w:r>
      <w:proofErr w:type="gramStart"/>
      <w:r w:rsidRPr="00B126B6">
        <w:t>эластичные</w:t>
      </w:r>
      <w:proofErr w:type="gramEnd"/>
      <w:r w:rsidRPr="00B126B6">
        <w:t xml:space="preserve"> </w:t>
      </w:r>
      <w:proofErr w:type="spellStart"/>
      <w:r w:rsidRPr="00B126B6">
        <w:t>проставки</w:t>
      </w:r>
      <w:proofErr w:type="spellEnd"/>
      <w:r w:rsidRPr="00B126B6">
        <w:t>.</w:t>
      </w:r>
    </w:p>
    <w:p w:rsidR="0089725A" w:rsidRPr="00622D08" w:rsidRDefault="0083696F" w:rsidP="00567F4D">
      <w:pPr>
        <w:spacing w:before="60"/>
        <w:jc w:val="both"/>
        <w:rPr>
          <w:b/>
        </w:rPr>
      </w:pPr>
      <w:r w:rsidRPr="00B126B6">
        <w:rPr>
          <w:b/>
        </w:rPr>
        <w:t>6. Обработка</w:t>
      </w:r>
    </w:p>
    <w:p w:rsidR="0083696F" w:rsidRPr="00B126B6" w:rsidRDefault="00B63C18" w:rsidP="0089725A">
      <w:pPr>
        <w:jc w:val="both"/>
      </w:pPr>
      <w:r w:rsidRPr="00B126B6">
        <w:t>Применение</w:t>
      </w:r>
    </w:p>
    <w:p w:rsidR="0083696F" w:rsidRPr="00B126B6" w:rsidRDefault="0083696F" w:rsidP="0089725A">
      <w:pPr>
        <w:jc w:val="both"/>
      </w:pPr>
      <w:r w:rsidRPr="00B126B6">
        <w:t>Интеграция матриц в лаборатории при помощи полимеризации</w:t>
      </w:r>
    </w:p>
    <w:p w:rsidR="00622D08" w:rsidRDefault="00CA3CC0" w:rsidP="0089725A">
      <w:pPr>
        <w:jc w:val="both"/>
      </w:pPr>
      <w:r w:rsidRPr="00B126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95676" wp14:editId="6C96B76B">
                <wp:simplePos x="0" y="0"/>
                <wp:positionH relativeFrom="column">
                  <wp:posOffset>5080033</wp:posOffset>
                </wp:positionH>
                <wp:positionV relativeFrom="paragraph">
                  <wp:posOffset>337452</wp:posOffset>
                </wp:positionV>
                <wp:extent cx="858253" cy="176464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53" cy="176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18" w:rsidRPr="00B63C18" w:rsidRDefault="00B63C18" w:rsidP="00B63C1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Рис.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400pt;margin-top:26.55pt;width:67.6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" fillcolor="white [3201]" stroked="f" strokeweight=".5pt">
                <v:textbox inset="0,0,0,0">
                  <w:txbxContent>
                    <w:p w:rsidR="00B63C18" w:rsidRPr="00B63C18" w:rsidRDefault="00B63C18" w:rsidP="00B63C1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  <w:r w:rsidR="0083696F" w:rsidRPr="00B126B6">
        <w:t xml:space="preserve">Перед интеграцией следует нанести вазелин на внутреннюю поверхность матрицы для её защиты от проникновения акрила. </w:t>
      </w:r>
    </w:p>
    <w:p w:rsidR="00622D08" w:rsidRDefault="0083696F" w:rsidP="0089725A">
      <w:pPr>
        <w:jc w:val="both"/>
      </w:pPr>
      <w:r w:rsidRPr="00B126B6">
        <w:t>При интеграции нескольких матриц необходимо убедиться в том,</w:t>
      </w:r>
    </w:p>
    <w:p w:rsidR="0083696F" w:rsidRPr="00B126B6" w:rsidRDefault="0083696F" w:rsidP="0089725A">
      <w:pPr>
        <w:jc w:val="both"/>
      </w:pPr>
      <w:r w:rsidRPr="00B126B6">
        <w:t xml:space="preserve"> что они все выровнены параллельно друг другу после того</w:t>
      </w:r>
      <w:r w:rsidR="000F77B5">
        <w:t>,</w:t>
      </w:r>
      <w:r w:rsidRPr="00B126B6">
        <w:t xml:space="preserve"> как их разместили на патрицах и закрепили воском (Рис. 1/В). </w:t>
      </w:r>
      <w:r w:rsidR="00CA3CC0" w:rsidRPr="00B126B6">
        <w:t>Эластичные</w:t>
      </w:r>
      <w:r w:rsidRPr="00B126B6">
        <w:t xml:space="preserve"> </w:t>
      </w:r>
      <w:proofErr w:type="spellStart"/>
      <w:r w:rsidRPr="00B126B6">
        <w:t>проставки</w:t>
      </w:r>
      <w:proofErr w:type="spellEnd"/>
      <w:r w:rsidRPr="00B126B6">
        <w:t xml:space="preserve"> должны быть заподлицо с кромкой матриц (Рис. 2) чтобы обеспечить максимальную фиксацию акрила.</w:t>
      </w:r>
    </w:p>
    <w:p w:rsidR="0083696F" w:rsidRPr="00B126B6" w:rsidRDefault="00B63C18" w:rsidP="0089725A">
      <w:pPr>
        <w:jc w:val="both"/>
      </w:pPr>
      <w:proofErr w:type="spellStart"/>
      <w:r w:rsidRPr="00B126B6">
        <w:t>Поднутрения</w:t>
      </w:r>
      <w:proofErr w:type="spellEnd"/>
      <w:r w:rsidRPr="00B126B6">
        <w:t xml:space="preserve"> и </w:t>
      </w:r>
      <w:proofErr w:type="spellStart"/>
      <w:r w:rsidRPr="00B126B6">
        <w:t>межсосочковые</w:t>
      </w:r>
      <w:proofErr w:type="spellEnd"/>
      <w:r w:rsidRPr="00B126B6">
        <w:t xml:space="preserve"> зазоры следует закрыть (заблокировать) формовочным гипсом, воском, силиконом или </w:t>
      </w:r>
      <w:proofErr w:type="spellStart"/>
      <w:r w:rsidRPr="00B126B6">
        <w:t>раббердамом</w:t>
      </w:r>
      <w:proofErr w:type="spellEnd"/>
      <w:r w:rsidRPr="00B126B6">
        <w:t>. Минимальное отклонение: 10° (Рис. 1/A).</w:t>
      </w:r>
    </w:p>
    <w:p w:rsidR="0083696F" w:rsidRPr="00B126B6" w:rsidRDefault="00B449F8" w:rsidP="0089725A">
      <w:pPr>
        <w:jc w:val="both"/>
      </w:pPr>
      <w:r w:rsidRPr="00B126B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6D2F3BA" wp14:editId="45DD23C7">
            <wp:simplePos x="0" y="0"/>
            <wp:positionH relativeFrom="column">
              <wp:posOffset>5384800</wp:posOffset>
            </wp:positionH>
            <wp:positionV relativeFrom="paragraph">
              <wp:posOffset>236220</wp:posOffset>
            </wp:positionV>
            <wp:extent cx="565785" cy="946150"/>
            <wp:effectExtent l="0" t="0" r="5715" b="635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23B" w:rsidRPr="00B126B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3070DA0" wp14:editId="30A28B9E">
            <wp:simplePos x="0" y="0"/>
            <wp:positionH relativeFrom="column">
              <wp:posOffset>4491990</wp:posOffset>
            </wp:positionH>
            <wp:positionV relativeFrom="paragraph">
              <wp:posOffset>236220</wp:posOffset>
            </wp:positionV>
            <wp:extent cx="580390" cy="943610"/>
            <wp:effectExtent l="0" t="0" r="0" b="889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3696F" w:rsidRPr="00B126B6">
        <w:t>Для обеспечения хорошего функц</w:t>
      </w:r>
      <w:r w:rsidR="000F77B5">
        <w:t xml:space="preserve">ионирования и для защиты </w:t>
      </w:r>
      <w:proofErr w:type="spellStart"/>
      <w:r w:rsidR="000F77B5">
        <w:t>ламелл</w:t>
      </w:r>
      <w:proofErr w:type="spellEnd"/>
      <w:r w:rsidR="0083696F" w:rsidRPr="00B126B6">
        <w:t xml:space="preserve"> эластичную </w:t>
      </w:r>
      <w:proofErr w:type="spellStart"/>
      <w:r w:rsidR="0083696F" w:rsidRPr="00B126B6">
        <w:t>проставку</w:t>
      </w:r>
      <w:proofErr w:type="spellEnd"/>
      <w:r w:rsidR="0083696F" w:rsidRPr="00B126B6">
        <w:t>, устанавливаемую на матрицу SKY «СКАЙ» из</w:t>
      </w:r>
      <w:r w:rsidR="000F77B5">
        <w:t xml:space="preserve"> драгоценных металлов, снимать не следует.</w:t>
      </w:r>
      <w:proofErr w:type="gramEnd"/>
    </w:p>
    <w:p w:rsidR="0083696F" w:rsidRPr="00B126B6" w:rsidRDefault="0083696F" w:rsidP="0089725A">
      <w:pPr>
        <w:jc w:val="both"/>
      </w:pPr>
      <w:r w:rsidRPr="00B126B6">
        <w:t>Интеграция матрицы в ротовую полость пациента</w:t>
      </w:r>
    </w:p>
    <w:p w:rsidR="0083696F" w:rsidRPr="00B126B6" w:rsidRDefault="00B63C18" w:rsidP="0089725A">
      <w:pPr>
        <w:jc w:val="both"/>
      </w:pPr>
      <w:r w:rsidRPr="00B126B6">
        <w:rPr>
          <w:b/>
        </w:rPr>
        <w:t xml:space="preserve">Примечание: </w:t>
      </w:r>
      <w:r w:rsidR="000F77B5" w:rsidRPr="00B126B6">
        <w:t xml:space="preserve">Следует </w:t>
      </w:r>
      <w:r w:rsidRPr="00B126B6">
        <w:t>соблюдать рекомендации по обработке при интеграции матрицы в лаборатории!</w:t>
      </w:r>
      <w:bookmarkStart w:id="0" w:name="_GoBack"/>
      <w:bookmarkEnd w:id="0"/>
    </w:p>
    <w:p w:rsidR="0083696F" w:rsidRPr="00B126B6" w:rsidRDefault="0083696F" w:rsidP="0089725A">
      <w:pPr>
        <w:jc w:val="both"/>
      </w:pPr>
      <w:r w:rsidRPr="00B126B6">
        <w:lastRenderedPageBreak/>
        <w:t>Перед интеграцией в корпус протеза необходимо обеспечить достаточно свободного места.</w:t>
      </w:r>
    </w:p>
    <w:p w:rsidR="0083696F" w:rsidRPr="00B126B6" w:rsidRDefault="00CA3CC0" w:rsidP="0089725A">
      <w:pPr>
        <w:jc w:val="both"/>
      </w:pPr>
      <w:r w:rsidRPr="00B126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DEF8C" wp14:editId="2ECBB09E">
                <wp:simplePos x="0" y="0"/>
                <wp:positionH relativeFrom="column">
                  <wp:posOffset>4041140</wp:posOffset>
                </wp:positionH>
                <wp:positionV relativeFrom="paragraph">
                  <wp:posOffset>755120</wp:posOffset>
                </wp:positionV>
                <wp:extent cx="1037590" cy="184785"/>
                <wp:effectExtent l="0" t="0" r="0" b="571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18" w:rsidRPr="00B63C18" w:rsidRDefault="00B63C18" w:rsidP="00B63C1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Рис.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left:0;text-align:left;margin-left:318.2pt;margin-top:59.45pt;width:81.7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" fillcolor="white [3201]" stroked="f" strokeweight=".5pt">
                <v:textbox inset="0,0,0,0">
                  <w:txbxContent>
                    <w:p w:rsidR="00B63C18" w:rsidRPr="00B63C18" w:rsidRDefault="00B63C18" w:rsidP="00B63C1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Рис. 2</w:t>
                      </w:r>
                    </w:p>
                  </w:txbxContent>
                </v:textbox>
              </v:shape>
            </w:pict>
          </mc:Fallback>
        </mc:AlternateContent>
      </w:r>
      <w:r w:rsidRPr="00B126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3604F" wp14:editId="4ED29868">
                <wp:simplePos x="0" y="0"/>
                <wp:positionH relativeFrom="column">
                  <wp:posOffset>5208270</wp:posOffset>
                </wp:positionH>
                <wp:positionV relativeFrom="paragraph">
                  <wp:posOffset>761470</wp:posOffset>
                </wp:positionV>
                <wp:extent cx="1037590" cy="184785"/>
                <wp:effectExtent l="0" t="0" r="0" b="571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18" w:rsidRPr="00B63C18" w:rsidRDefault="00B63C18" w:rsidP="00B63C1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Рис.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8" type="#_x0000_t202" style="position:absolute;left:0;text-align:left;margin-left:410.1pt;margin-top:59.95pt;width:81.7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" fillcolor="white [3201]" stroked="f" strokeweight=".5pt">
                <v:textbox inset="0,0,0,0">
                  <w:txbxContent>
                    <w:p w:rsidR="00B63C18" w:rsidRPr="00B63C18" w:rsidRDefault="00B63C18" w:rsidP="00B63C1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Рис. 3</w:t>
                      </w:r>
                    </w:p>
                  </w:txbxContent>
                </v:textbox>
              </v:shape>
            </w:pict>
          </mc:Fallback>
        </mc:AlternateContent>
      </w:r>
      <w:r w:rsidR="0083696F" w:rsidRPr="00B126B6">
        <w:t xml:space="preserve">Параллельность матриц играет важную роль при установке их в ротовую полость. Необходимо заблокировать </w:t>
      </w:r>
      <w:proofErr w:type="spellStart"/>
      <w:r w:rsidR="0083696F" w:rsidRPr="00B126B6">
        <w:t>поднутрения</w:t>
      </w:r>
      <w:proofErr w:type="spellEnd"/>
      <w:r w:rsidR="0083696F" w:rsidRPr="00B126B6">
        <w:t>. Если имеется возможность, следует просверлить отверстие в корпусе протеза для выхода акрилового полимера.</w:t>
      </w:r>
    </w:p>
    <w:p w:rsidR="0083696F" w:rsidRPr="00B126B6" w:rsidRDefault="0083696F" w:rsidP="0089725A">
      <w:pPr>
        <w:jc w:val="both"/>
        <w:rPr>
          <w:b/>
          <w:bCs/>
        </w:rPr>
      </w:pPr>
      <w:r w:rsidRPr="00B126B6">
        <w:rPr>
          <w:b/>
          <w:bCs/>
        </w:rPr>
        <w:t>Регулировка силы фиксации</w:t>
      </w:r>
    </w:p>
    <w:p w:rsidR="0083696F" w:rsidRPr="00B126B6" w:rsidRDefault="00B63C18" w:rsidP="0089725A">
      <w:pPr>
        <w:jc w:val="both"/>
      </w:pPr>
      <w:r w:rsidRPr="00B126B6">
        <w:t xml:space="preserve">Используя соответствующий инструмент (активатор или </w:t>
      </w:r>
      <w:proofErr w:type="spellStart"/>
      <w:r w:rsidRPr="00B126B6">
        <w:t>деактиватор</w:t>
      </w:r>
      <w:proofErr w:type="spellEnd"/>
      <w:r w:rsidRPr="00B126B6">
        <w:t xml:space="preserve">) необходимо слегка надавить, чтобы сжать четыре </w:t>
      </w:r>
      <w:proofErr w:type="spellStart"/>
      <w:r w:rsidRPr="00B126B6">
        <w:t>ламеллы</w:t>
      </w:r>
      <w:proofErr w:type="spellEnd"/>
      <w:r w:rsidRPr="00B126B6">
        <w:t xml:space="preserve"> вместе (Рис. 2) или раздвинуть их (Рис. 3). Матрицу из акрилового полимера не извлекать.</w:t>
      </w:r>
    </w:p>
    <w:p w:rsidR="0089725A" w:rsidRPr="00B126B6" w:rsidRDefault="0083696F" w:rsidP="0089725A">
      <w:pPr>
        <w:jc w:val="both"/>
      </w:pPr>
      <w:r w:rsidRPr="00B126B6">
        <w:t>После использования вымыть инструменты водой и продезинфицировать. Не стерилизовать.</w:t>
      </w:r>
    </w:p>
    <w:p w:rsidR="0089725A" w:rsidRPr="007C6E50" w:rsidRDefault="0083696F" w:rsidP="00CD223B">
      <w:pPr>
        <w:spacing w:before="120"/>
        <w:jc w:val="both"/>
        <w:rPr>
          <w:b/>
        </w:rPr>
      </w:pPr>
      <w:r w:rsidRPr="00B126B6">
        <w:rPr>
          <w:b/>
        </w:rPr>
        <w:t>7.</w:t>
      </w:r>
      <w:r w:rsidRPr="00B126B6">
        <w:rPr>
          <w:b/>
        </w:rPr>
        <w:tab/>
        <w:t>Технические данные</w:t>
      </w:r>
    </w:p>
    <w:p w:rsidR="0083696F" w:rsidRPr="00B126B6" w:rsidRDefault="0083696F" w:rsidP="0089725A">
      <w:pPr>
        <w:jc w:val="both"/>
      </w:pPr>
      <w:r w:rsidRPr="00B126B6">
        <w:t>Состав:</w:t>
      </w:r>
      <w:r w:rsidR="007C6E50">
        <w:t xml:space="preserve"> </w:t>
      </w:r>
      <w:proofErr w:type="spellStart"/>
      <w:r w:rsidRPr="00B126B6">
        <w:t>Au</w:t>
      </w:r>
      <w:proofErr w:type="spellEnd"/>
      <w:r w:rsidRPr="00B126B6">
        <w:t xml:space="preserve"> 68,6</w:t>
      </w:r>
      <w:r w:rsidR="00410D5C">
        <w:t xml:space="preserve"> </w:t>
      </w:r>
      <w:r w:rsidRPr="00B126B6">
        <w:t xml:space="preserve">%, </w:t>
      </w:r>
      <w:proofErr w:type="spellStart"/>
      <w:r w:rsidRPr="00B126B6">
        <w:t>Ag</w:t>
      </w:r>
      <w:proofErr w:type="spellEnd"/>
      <w:r w:rsidRPr="00B126B6">
        <w:t xml:space="preserve"> 11,85</w:t>
      </w:r>
      <w:r w:rsidR="00410D5C">
        <w:t xml:space="preserve"> </w:t>
      </w:r>
      <w:r w:rsidRPr="00B126B6">
        <w:t xml:space="preserve">%, </w:t>
      </w:r>
      <w:proofErr w:type="spellStart"/>
      <w:r w:rsidRPr="00B126B6">
        <w:t>Cu</w:t>
      </w:r>
      <w:proofErr w:type="spellEnd"/>
      <w:r w:rsidRPr="00B126B6">
        <w:t xml:space="preserve"> 10,6</w:t>
      </w:r>
      <w:r w:rsidR="00410D5C">
        <w:t xml:space="preserve"> </w:t>
      </w:r>
      <w:r w:rsidRPr="00B126B6">
        <w:t xml:space="preserve">%, </w:t>
      </w:r>
      <w:proofErr w:type="spellStart"/>
      <w:r w:rsidRPr="00B126B6">
        <w:t>Pd</w:t>
      </w:r>
      <w:proofErr w:type="spellEnd"/>
      <w:r w:rsidRPr="00B126B6">
        <w:t xml:space="preserve"> 3,95</w:t>
      </w:r>
      <w:r w:rsidR="00410D5C">
        <w:t xml:space="preserve"> </w:t>
      </w:r>
      <w:r w:rsidRPr="00B126B6">
        <w:t xml:space="preserve">%, </w:t>
      </w:r>
      <w:proofErr w:type="spellStart"/>
      <w:r w:rsidRPr="00B126B6">
        <w:t>Pt</w:t>
      </w:r>
      <w:proofErr w:type="spellEnd"/>
      <w:r w:rsidRPr="00B126B6">
        <w:t xml:space="preserve"> 2,45</w:t>
      </w:r>
      <w:r w:rsidR="00410D5C">
        <w:t xml:space="preserve"> </w:t>
      </w:r>
      <w:r w:rsidRPr="00B126B6">
        <w:t xml:space="preserve">%, </w:t>
      </w:r>
      <w:proofErr w:type="spellStart"/>
      <w:r w:rsidRPr="00B126B6">
        <w:t>Zn</w:t>
      </w:r>
      <w:proofErr w:type="spellEnd"/>
      <w:r w:rsidRPr="00B126B6">
        <w:t xml:space="preserve"> 2,5</w:t>
      </w:r>
      <w:r w:rsidR="00410D5C">
        <w:t xml:space="preserve"> </w:t>
      </w:r>
      <w:r w:rsidRPr="00B126B6">
        <w:t xml:space="preserve">% , </w:t>
      </w:r>
      <w:proofErr w:type="spellStart"/>
      <w:r w:rsidRPr="00B126B6">
        <w:t>Ir</w:t>
      </w:r>
      <w:proofErr w:type="spellEnd"/>
      <w:r w:rsidRPr="00B126B6">
        <w:t xml:space="preserve"> 0,05</w:t>
      </w:r>
      <w:r w:rsidR="00410D5C">
        <w:t xml:space="preserve"> </w:t>
      </w:r>
      <w:r w:rsidRPr="00B126B6">
        <w:t>%.</w:t>
      </w:r>
    </w:p>
    <w:p w:rsidR="0089725A" w:rsidRPr="00B126B6" w:rsidRDefault="0083696F" w:rsidP="0089725A">
      <w:pPr>
        <w:jc w:val="both"/>
      </w:pPr>
      <w:r w:rsidRPr="00B126B6">
        <w:t>Диапазон температуры плавления:</w:t>
      </w:r>
      <w:r w:rsidR="007C6E50">
        <w:t xml:space="preserve"> </w:t>
      </w:r>
      <w:r w:rsidRPr="00B126B6">
        <w:t>TS-TL 880-940 °C</w:t>
      </w:r>
    </w:p>
    <w:p w:rsidR="0089725A" w:rsidRPr="007C6E50" w:rsidRDefault="0083696F" w:rsidP="00CD223B">
      <w:pPr>
        <w:spacing w:before="120"/>
        <w:jc w:val="both"/>
        <w:rPr>
          <w:b/>
        </w:rPr>
      </w:pPr>
      <w:r w:rsidRPr="00B126B6">
        <w:rPr>
          <w:b/>
        </w:rPr>
        <w:t>8.</w:t>
      </w:r>
      <w:r w:rsidRPr="00B126B6">
        <w:rPr>
          <w:b/>
        </w:rPr>
        <w:tab/>
        <w:t>Символы</w:t>
      </w:r>
      <w:r w:rsidR="00C61A0B" w:rsidRPr="00B126B6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5A9DBAE" wp14:editId="005D62E1">
            <wp:simplePos x="0" y="0"/>
            <wp:positionH relativeFrom="column">
              <wp:posOffset>2540</wp:posOffset>
            </wp:positionH>
            <wp:positionV relativeFrom="paragraph">
              <wp:posOffset>177800</wp:posOffset>
            </wp:positionV>
            <wp:extent cx="252730" cy="701040"/>
            <wp:effectExtent l="0" t="0" r="0" b="381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6F" w:rsidRPr="00B126B6" w:rsidRDefault="0083696F" w:rsidP="0089725A">
      <w:pPr>
        <w:jc w:val="both"/>
      </w:pPr>
      <w:r w:rsidRPr="00B126B6">
        <w:t>Номер партии</w:t>
      </w:r>
    </w:p>
    <w:p w:rsidR="0083696F" w:rsidRPr="00B126B6" w:rsidRDefault="0083696F" w:rsidP="0089725A">
      <w:pPr>
        <w:jc w:val="both"/>
      </w:pPr>
      <w:r w:rsidRPr="00B126B6">
        <w:t xml:space="preserve">Соблюдать инструкцию по эксплуатации </w:t>
      </w:r>
    </w:p>
    <w:p w:rsidR="0083696F" w:rsidRPr="00B126B6" w:rsidRDefault="0083696F" w:rsidP="0089725A">
      <w:pPr>
        <w:jc w:val="both"/>
      </w:pPr>
      <w:r w:rsidRPr="00B126B6">
        <w:t>Одноразовый</w:t>
      </w:r>
    </w:p>
    <w:p w:rsidR="0089725A" w:rsidRPr="00B126B6" w:rsidRDefault="0083696F" w:rsidP="0089725A">
      <w:pPr>
        <w:jc w:val="both"/>
      </w:pPr>
      <w:r w:rsidRPr="00B126B6">
        <w:t>Хранить в сухом месте</w:t>
      </w:r>
    </w:p>
    <w:p w:rsidR="0089725A" w:rsidRPr="007C6E50" w:rsidRDefault="0083696F" w:rsidP="00CD223B">
      <w:pPr>
        <w:spacing w:before="120"/>
        <w:jc w:val="both"/>
        <w:rPr>
          <w:b/>
        </w:rPr>
      </w:pPr>
      <w:r w:rsidRPr="00B126B6">
        <w:rPr>
          <w:b/>
        </w:rPr>
        <w:t>9.</w:t>
      </w:r>
      <w:r w:rsidRPr="00B126B6">
        <w:rPr>
          <w:b/>
        </w:rPr>
        <w:tab/>
        <w:t>Дополнительная информация</w:t>
      </w:r>
    </w:p>
    <w:p w:rsidR="0083696F" w:rsidRPr="00B126B6" w:rsidRDefault="0083696F" w:rsidP="0089725A">
      <w:pPr>
        <w:jc w:val="both"/>
      </w:pPr>
      <w:r w:rsidRPr="00B126B6">
        <w:t>Данное изделие предназначено только для использования стоматологами, зубными техниками и обученным персоналом зубных клиник.</w:t>
      </w:r>
    </w:p>
    <w:p w:rsidR="0083696F" w:rsidRPr="00B126B6" w:rsidRDefault="0083696F" w:rsidP="0089725A">
      <w:pPr>
        <w:jc w:val="both"/>
      </w:pPr>
      <w:r w:rsidRPr="00B126B6">
        <w:t xml:space="preserve">Использовать только с оригинальным инструментом и компонентами. Все компоненты, используемые в ротовой полости, следует защитить от аспирации. </w:t>
      </w:r>
    </w:p>
    <w:p w:rsidR="0089725A" w:rsidRPr="00B126B6" w:rsidRDefault="0089725A" w:rsidP="0089725A">
      <w:pPr>
        <w:jc w:val="both"/>
      </w:pPr>
      <w:r w:rsidRPr="00B126B6">
        <w:t>Перед установкой в ротовую полость пациента все компоненты необходимо продезинфицировать. Допускается применение только стандартных дезинфицирующих сре</w:t>
      </w:r>
      <w:proofErr w:type="gramStart"/>
      <w:r w:rsidRPr="00B126B6">
        <w:t>дств дл</w:t>
      </w:r>
      <w:proofErr w:type="gramEnd"/>
      <w:r w:rsidRPr="00B126B6">
        <w:t>я стоматологических инструментов, например «</w:t>
      </w:r>
      <w:proofErr w:type="spellStart"/>
      <w:r w:rsidRPr="00B126B6">
        <w:t>Dürr</w:t>
      </w:r>
      <w:proofErr w:type="spellEnd"/>
      <w:r w:rsidRPr="00B126B6">
        <w:t xml:space="preserve"> ID 212 </w:t>
      </w:r>
      <w:proofErr w:type="spellStart"/>
      <w:r w:rsidRPr="00B126B6">
        <w:t>forte</w:t>
      </w:r>
      <w:proofErr w:type="spellEnd"/>
      <w:r w:rsidRPr="00B126B6">
        <w:t>». Необходимо соблюдать инструкции по применению дезинфициру</w:t>
      </w:r>
      <w:r w:rsidR="00410D5C">
        <w:t>ющих средств. После дезинфекции</w:t>
      </w:r>
      <w:r w:rsidRPr="00B126B6">
        <w:t xml:space="preserve"> остатки дезинфицирующего средства необходимо тщательно удалить с компонентов (см. инструкции производителя дезинфицирующего средства, </w:t>
      </w:r>
      <w:r w:rsidR="00CA3CC0" w:rsidRPr="00B126B6">
        <w:t>например,</w:t>
      </w:r>
      <w:r w:rsidRPr="00B126B6">
        <w:t xml:space="preserve"> смыть водой при использовании  «ID</w:t>
      </w:r>
      <w:r w:rsidR="00CA3CC0" w:rsidRPr="00B126B6">
        <w:t xml:space="preserve"> </w:t>
      </w:r>
      <w:r w:rsidRPr="00B126B6">
        <w:t xml:space="preserve">212 </w:t>
      </w:r>
      <w:proofErr w:type="spellStart"/>
      <w:r w:rsidRPr="00B126B6">
        <w:t>forte</w:t>
      </w:r>
      <w:proofErr w:type="spellEnd"/>
      <w:r w:rsidRPr="00B126B6">
        <w:t xml:space="preserve">»). </w:t>
      </w:r>
    </w:p>
    <w:p w:rsidR="0083696F" w:rsidRPr="00B126B6" w:rsidRDefault="0083696F" w:rsidP="0089725A">
      <w:pPr>
        <w:jc w:val="both"/>
      </w:pPr>
      <w:r w:rsidRPr="00B126B6">
        <w:t xml:space="preserve">Все изделия с маркировкой </w:t>
      </w:r>
      <w:r w:rsidR="0089725A" w:rsidRPr="00B126B6">
        <w:rPr>
          <w:noProof/>
          <w:lang w:eastAsia="ru-RU"/>
        </w:rPr>
        <w:drawing>
          <wp:inline distT="0" distB="0" distL="0" distR="0" wp14:anchorId="5540C396" wp14:editId="309C396B">
            <wp:extent cx="105006" cy="10500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06" cy="10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6B6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89725A" w:rsidRPr="00B126B6" w:rsidRDefault="0083696F" w:rsidP="0089725A">
      <w:pPr>
        <w:jc w:val="both"/>
      </w:pPr>
      <w:r w:rsidRPr="00B126B6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изготовитель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89725A" w:rsidRPr="00B126B6" w:rsidRDefault="0089725A" w:rsidP="0089725A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BF3A68" w:rsidRPr="00B126B6" w:rsidTr="004E20D5">
        <w:tc>
          <w:tcPr>
            <w:tcW w:w="2093" w:type="dxa"/>
          </w:tcPr>
          <w:p w:rsidR="00BF3A68" w:rsidRPr="00B126B6" w:rsidRDefault="00290A72" w:rsidP="004E20D5">
            <w:r w:rsidRPr="00B126B6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453953C" wp14:editId="4591170F">
                      <wp:simplePos x="0" y="0"/>
                      <wp:positionH relativeFrom="page">
                        <wp:posOffset>107950</wp:posOffset>
                      </wp:positionH>
                      <wp:positionV relativeFrom="paragraph">
                        <wp:posOffset>80684</wp:posOffset>
                      </wp:positionV>
                      <wp:extent cx="1077595" cy="354965"/>
                      <wp:effectExtent l="19050" t="0" r="27305" b="4508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7595" cy="354965"/>
                                <a:chOff x="170" y="28"/>
                                <a:chExt cx="1697" cy="559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" y="27"/>
                                  <a:ext cx="1697" cy="5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99"/>
                                  <a:ext cx="1697" cy="559"/>
                                </a:xfrm>
                                <a:custGeom>
                                  <a:avLst/>
                                  <a:gdLst>
                                    <a:gd name="T0" fmla="*/ 170 w 1697"/>
                                    <a:gd name="T1" fmla="+- 0 28 799"/>
                                    <a:gd name="T2" fmla="*/ 28 h 559"/>
                                    <a:gd name="T3" fmla="*/ 1866 w 1697"/>
                                    <a:gd name="T4" fmla="+- 0 28 799"/>
                                    <a:gd name="T5" fmla="*/ 28 h 559"/>
                                    <a:gd name="T6" fmla="*/ 1866 w 1697"/>
                                    <a:gd name="T7" fmla="+- 0 587 799"/>
                                    <a:gd name="T8" fmla="*/ 587 h 559"/>
                                    <a:gd name="T9" fmla="*/ 170 w 1697"/>
                                    <a:gd name="T10" fmla="+- 0 587 799"/>
                                    <a:gd name="T11" fmla="*/ 587 h 559"/>
                                    <a:gd name="T12" fmla="*/ 170 w 1697"/>
                                    <a:gd name="T13" fmla="+- 0 28 799"/>
                                    <a:gd name="T14" fmla="*/ 28 h 559"/>
                                    <a:gd name="T15" fmla="*/ 170 w 1697"/>
                                    <a:gd name="T16" fmla="+- 0 28 799"/>
                                    <a:gd name="T17" fmla="*/ 28 h 559"/>
                                    <a:gd name="T18" fmla="*/ 1866 w 1697"/>
                                    <a:gd name="T19" fmla="+- 0 587 799"/>
                                    <a:gd name="T20" fmla="*/ 587 h 559"/>
                                    <a:gd name="T21" fmla="*/ 1866 w 1697"/>
                                    <a:gd name="T22" fmla="+- 0 28 799"/>
                                    <a:gd name="T23" fmla="*/ 28 h 559"/>
                                    <a:gd name="T24" fmla="*/ 170 w 1697"/>
                                    <a:gd name="T25" fmla="+- 0 587 799"/>
                                    <a:gd name="T26" fmla="*/ 587 h 559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</a:cxnLst>
                                  <a:rect l="0" t="0" r="r" b="b"/>
                                  <a:pathLst>
                                    <a:path w="1697" h="559">
                                      <a:moveTo>
                                        <a:pt x="170" y="-771"/>
                                      </a:moveTo>
                                      <a:lnTo>
                                        <a:pt x="1866" y="-771"/>
                                      </a:lnTo>
                                      <a:lnTo>
                                        <a:pt x="1866" y="-212"/>
                                      </a:lnTo>
                                      <a:lnTo>
                                        <a:pt x="170" y="-212"/>
                                      </a:lnTo>
                                      <a:lnTo>
                                        <a:pt x="170" y="-771"/>
                                      </a:lnTo>
                                      <a:close/>
                                      <a:moveTo>
                                        <a:pt x="170" y="-771"/>
                                      </a:moveTo>
                                      <a:lnTo>
                                        <a:pt x="1866" y="-212"/>
                                      </a:lnTo>
                                      <a:moveTo>
                                        <a:pt x="1866" y="-771"/>
                                      </a:moveTo>
                                      <a:lnTo>
                                        <a:pt x="170" y="-21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8.5pt;margin-top:6.35pt;width:84.85pt;height:27.95pt;z-index:251672576;mso-position-horizontal-relative:page" coordorigin="170,28" coordsize="1697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">
                      <v:rect id="Rectangle 3" o:spid="_x0000_s1027" style="position:absolute;left:170;top:27;width:169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uPcAA&#10;AADaAAAADwAAAGRycy9kb3ducmV2LnhtbESPQYvCMBSE74L/ITzBm6YKylKNogVBL8LWlb0+mmdb&#10;TF5KE2v990ZY2OMwM98w621vjeio9bVjBbNpAoK4cLrmUsHP5TD5AuEDskbjmBS8yMN2MxysMdXu&#10;yd/U5aEUEcI+RQVVCE0qpS8qsuinriGO3s21FkOUbSl1i88It0bOk2QpLdYcFypsKKuouOcPq+Bc&#10;XBcHm3T7q8mdO2GWXcxvrdR41O9WIAL14T/81z5qBUv4XIk3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AuPcAAAADaAAAADwAAAAAAAAAAAAAAAACYAgAAZHJzL2Rvd25y&#10;ZXYueG1sUEsFBgAAAAAEAAQA9QAAAIUDAAAAAA==&#10;" fillcolor="#999" stroked="f"/>
                      <v:shape id="AutoShape 4" o:spid="_x0000_s1028" style="position:absolute;top:799;width:1697;height:559;visibility:visible;mso-wrap-style:square;v-text-anchor:top" coordsize="1697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neMEA&#10;AADaAAAADwAAAGRycy9kb3ducmV2LnhtbESPzYrCQBCE7wu+w9CCt3XiD4lGRxFB8LKHNT5Ak2mT&#10;YKYnZiYmvr2zIOyxqKqvqO1+MLV4Uusqywpm0wgEcW51xYWCa3b6XoFwHlljbZkUvMjBfjf62mKq&#10;bc+/9Lz4QgQIuxQVlN43qZQuL8mgm9qGOHg32xr0QbaF1C32AW5qOY+iWBqsOCyU2NCxpPx+6YyC&#10;bki6RYLLa52d5n2T6cc6/omVmoyHwwaEp8H/hz/ts1aQwN+VcAPk7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xJ3jBAAAA2gAAAA8AAAAAAAAAAAAAAAAAmAIAAGRycy9kb3du&#10;cmV2LnhtbFBLBQYAAAAABAAEAPUAAACGAwAAAAA=&#10;" path="m170,-771r1696,l1866,-212r-1696,l170,-771xm170,-771r1696,559m1866,-771l170,-212e" filled="f" strokeweight="0">
                        <v:path arrowok="t" o:connecttype="custom" o:connectlocs="170,28;1866,28;1866,587;170,587;170,28;170,28;1866,587;1866,28;170,587" o:connectangles="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:rsidR="00BF3A68" w:rsidRPr="00B126B6" w:rsidRDefault="00BF3A68" w:rsidP="004E20D5"/>
        </w:tc>
        <w:tc>
          <w:tcPr>
            <w:tcW w:w="6769" w:type="dxa"/>
          </w:tcPr>
          <w:p w:rsidR="00BF3A68" w:rsidRPr="00622D08" w:rsidRDefault="00BF3A68" w:rsidP="004E20D5">
            <w:pPr>
              <w:rPr>
                <w:lang w:val="en-US"/>
              </w:rPr>
            </w:pPr>
            <w:proofErr w:type="spellStart"/>
            <w:r w:rsidRPr="00622D08">
              <w:rPr>
                <w:lang w:val="en-US"/>
              </w:rPr>
              <w:t>bredent</w:t>
            </w:r>
            <w:proofErr w:type="spellEnd"/>
            <w:r w:rsidRPr="00622D08">
              <w:rPr>
                <w:lang w:val="en-US"/>
              </w:rPr>
              <w:t xml:space="preserve"> medical GmbH &amp; Co. KG </w:t>
            </w:r>
          </w:p>
          <w:p w:rsidR="00BF3A68" w:rsidRPr="00622D08" w:rsidRDefault="00BF3A68" w:rsidP="004E20D5">
            <w:pPr>
              <w:rPr>
                <w:lang w:val="en-US"/>
              </w:rPr>
            </w:pPr>
            <w:proofErr w:type="spellStart"/>
            <w:r w:rsidRPr="00622D08">
              <w:rPr>
                <w:lang w:val="en-US"/>
              </w:rPr>
              <w:t>Weissenhorner</w:t>
            </w:r>
            <w:proofErr w:type="spellEnd"/>
            <w:r w:rsidRPr="00622D08">
              <w:rPr>
                <w:lang w:val="en-US"/>
              </w:rPr>
              <w:t xml:space="preserve"> Str. 2 | 89250 </w:t>
            </w:r>
            <w:proofErr w:type="spellStart"/>
            <w:r w:rsidRPr="00B126B6">
              <w:t>Зенден</w:t>
            </w:r>
            <w:proofErr w:type="spellEnd"/>
            <w:r w:rsidRPr="00622D08">
              <w:rPr>
                <w:lang w:val="en-US"/>
              </w:rPr>
              <w:t xml:space="preserve"> | </w:t>
            </w:r>
            <w:r w:rsidRPr="00B126B6">
              <w:t>Германия</w:t>
            </w:r>
          </w:p>
          <w:p w:rsidR="00BF3A68" w:rsidRPr="00B449F8" w:rsidRDefault="00BF3A68" w:rsidP="004E20D5">
            <w:pPr>
              <w:rPr>
                <w:lang w:val="en-US"/>
              </w:rPr>
            </w:pPr>
            <w:r w:rsidRPr="00B126B6">
              <w:t>Тел</w:t>
            </w:r>
            <w:r w:rsidRPr="00B449F8">
              <w:rPr>
                <w:lang w:val="en-US"/>
              </w:rPr>
              <w:t xml:space="preserve">.: +49 7309 872-600 | </w:t>
            </w:r>
            <w:r w:rsidRPr="00B126B6">
              <w:t>Факс</w:t>
            </w:r>
            <w:r w:rsidRPr="00B449F8">
              <w:rPr>
                <w:lang w:val="en-US"/>
              </w:rPr>
              <w:t>: +49 7309 872-635</w:t>
            </w:r>
          </w:p>
          <w:p w:rsidR="00BF3A68" w:rsidRPr="00B126B6" w:rsidRDefault="00BF3A68" w:rsidP="004E20D5">
            <w:r w:rsidRPr="00B126B6">
              <w:t>www.bredent-medical.com | эл. почта: info-medical@bredent.com</w:t>
            </w:r>
          </w:p>
        </w:tc>
      </w:tr>
    </w:tbl>
    <w:p w:rsidR="0083696F" w:rsidRPr="00B126B6" w:rsidRDefault="0083696F" w:rsidP="0089725A">
      <w:pPr>
        <w:jc w:val="both"/>
      </w:pPr>
    </w:p>
    <w:sectPr w:rsidR="0083696F" w:rsidRPr="00B1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6F"/>
    <w:rsid w:val="00023C54"/>
    <w:rsid w:val="0004330D"/>
    <w:rsid w:val="000643C9"/>
    <w:rsid w:val="00066DF3"/>
    <w:rsid w:val="0007764D"/>
    <w:rsid w:val="000C739E"/>
    <w:rsid w:val="000D76B9"/>
    <w:rsid w:val="000F5447"/>
    <w:rsid w:val="000F6B97"/>
    <w:rsid w:val="000F77B5"/>
    <w:rsid w:val="00113E03"/>
    <w:rsid w:val="00114DF4"/>
    <w:rsid w:val="00120E4B"/>
    <w:rsid w:val="001825EB"/>
    <w:rsid w:val="001917F4"/>
    <w:rsid w:val="001943E3"/>
    <w:rsid w:val="00195AB6"/>
    <w:rsid w:val="00195DDD"/>
    <w:rsid w:val="001A5894"/>
    <w:rsid w:val="001B2901"/>
    <w:rsid w:val="001B785D"/>
    <w:rsid w:val="00231B18"/>
    <w:rsid w:val="0024468D"/>
    <w:rsid w:val="00260E11"/>
    <w:rsid w:val="00265394"/>
    <w:rsid w:val="00270AD3"/>
    <w:rsid w:val="00270F39"/>
    <w:rsid w:val="00290A72"/>
    <w:rsid w:val="002915F7"/>
    <w:rsid w:val="00297473"/>
    <w:rsid w:val="002979D6"/>
    <w:rsid w:val="002A0DAE"/>
    <w:rsid w:val="002C3DE0"/>
    <w:rsid w:val="002D411B"/>
    <w:rsid w:val="002E148E"/>
    <w:rsid w:val="002F333F"/>
    <w:rsid w:val="00301E44"/>
    <w:rsid w:val="00303712"/>
    <w:rsid w:val="003054E9"/>
    <w:rsid w:val="00317B0E"/>
    <w:rsid w:val="0032555C"/>
    <w:rsid w:val="00346E3E"/>
    <w:rsid w:val="00350B9B"/>
    <w:rsid w:val="00352237"/>
    <w:rsid w:val="00362FA8"/>
    <w:rsid w:val="0038579F"/>
    <w:rsid w:val="003A0E75"/>
    <w:rsid w:val="003A53D4"/>
    <w:rsid w:val="003A7218"/>
    <w:rsid w:val="00410D5C"/>
    <w:rsid w:val="00416006"/>
    <w:rsid w:val="00431AB5"/>
    <w:rsid w:val="00475651"/>
    <w:rsid w:val="0047713C"/>
    <w:rsid w:val="00496054"/>
    <w:rsid w:val="004A1141"/>
    <w:rsid w:val="004E4741"/>
    <w:rsid w:val="004F2FCF"/>
    <w:rsid w:val="004F5576"/>
    <w:rsid w:val="005034C1"/>
    <w:rsid w:val="0052587D"/>
    <w:rsid w:val="00551837"/>
    <w:rsid w:val="00567F4D"/>
    <w:rsid w:val="00582A13"/>
    <w:rsid w:val="00593039"/>
    <w:rsid w:val="005A10B5"/>
    <w:rsid w:val="005A6FE5"/>
    <w:rsid w:val="005C5CB4"/>
    <w:rsid w:val="005D03A8"/>
    <w:rsid w:val="005F28CA"/>
    <w:rsid w:val="00601ACB"/>
    <w:rsid w:val="00605BFC"/>
    <w:rsid w:val="006061EC"/>
    <w:rsid w:val="00622D08"/>
    <w:rsid w:val="006309D3"/>
    <w:rsid w:val="0064430B"/>
    <w:rsid w:val="0064649A"/>
    <w:rsid w:val="00647257"/>
    <w:rsid w:val="00650E3A"/>
    <w:rsid w:val="00675A7B"/>
    <w:rsid w:val="00686311"/>
    <w:rsid w:val="006B0234"/>
    <w:rsid w:val="006B34E7"/>
    <w:rsid w:val="006C526F"/>
    <w:rsid w:val="00704763"/>
    <w:rsid w:val="00735456"/>
    <w:rsid w:val="00775ED3"/>
    <w:rsid w:val="007A1C92"/>
    <w:rsid w:val="007B0365"/>
    <w:rsid w:val="007C21EA"/>
    <w:rsid w:val="007C6E50"/>
    <w:rsid w:val="007F72E3"/>
    <w:rsid w:val="00800EC4"/>
    <w:rsid w:val="008054D2"/>
    <w:rsid w:val="00814A1E"/>
    <w:rsid w:val="00814AC6"/>
    <w:rsid w:val="00822152"/>
    <w:rsid w:val="00830C9D"/>
    <w:rsid w:val="0083696F"/>
    <w:rsid w:val="0087595A"/>
    <w:rsid w:val="0089725A"/>
    <w:rsid w:val="008A1D7C"/>
    <w:rsid w:val="008B4BE4"/>
    <w:rsid w:val="008C1E87"/>
    <w:rsid w:val="008C1F08"/>
    <w:rsid w:val="008E4EEA"/>
    <w:rsid w:val="008E653A"/>
    <w:rsid w:val="009048F1"/>
    <w:rsid w:val="00912769"/>
    <w:rsid w:val="009179A7"/>
    <w:rsid w:val="00921ABD"/>
    <w:rsid w:val="00935705"/>
    <w:rsid w:val="009523F2"/>
    <w:rsid w:val="00960702"/>
    <w:rsid w:val="0099135A"/>
    <w:rsid w:val="009C1B19"/>
    <w:rsid w:val="009D2A0D"/>
    <w:rsid w:val="009F094E"/>
    <w:rsid w:val="009F0A01"/>
    <w:rsid w:val="00A150DE"/>
    <w:rsid w:val="00A16DDE"/>
    <w:rsid w:val="00A32033"/>
    <w:rsid w:val="00A33DCC"/>
    <w:rsid w:val="00A37F83"/>
    <w:rsid w:val="00A424B6"/>
    <w:rsid w:val="00A757C9"/>
    <w:rsid w:val="00A83AA1"/>
    <w:rsid w:val="00A91C34"/>
    <w:rsid w:val="00AC3009"/>
    <w:rsid w:val="00AE4994"/>
    <w:rsid w:val="00AF27CE"/>
    <w:rsid w:val="00AF5EB2"/>
    <w:rsid w:val="00AF62D1"/>
    <w:rsid w:val="00B0398E"/>
    <w:rsid w:val="00B054B5"/>
    <w:rsid w:val="00B126B6"/>
    <w:rsid w:val="00B12A43"/>
    <w:rsid w:val="00B27413"/>
    <w:rsid w:val="00B449F8"/>
    <w:rsid w:val="00B44B53"/>
    <w:rsid w:val="00B63C18"/>
    <w:rsid w:val="00B64989"/>
    <w:rsid w:val="00B74D2F"/>
    <w:rsid w:val="00B857BA"/>
    <w:rsid w:val="00B978EE"/>
    <w:rsid w:val="00B97911"/>
    <w:rsid w:val="00BA5C6E"/>
    <w:rsid w:val="00BC1E87"/>
    <w:rsid w:val="00BC21CE"/>
    <w:rsid w:val="00BC222F"/>
    <w:rsid w:val="00BC7217"/>
    <w:rsid w:val="00BD0D7C"/>
    <w:rsid w:val="00BD542B"/>
    <w:rsid w:val="00BF0198"/>
    <w:rsid w:val="00BF3A68"/>
    <w:rsid w:val="00C164DD"/>
    <w:rsid w:val="00C17A5B"/>
    <w:rsid w:val="00C23E20"/>
    <w:rsid w:val="00C25F5F"/>
    <w:rsid w:val="00C4347C"/>
    <w:rsid w:val="00C525A3"/>
    <w:rsid w:val="00C61A0B"/>
    <w:rsid w:val="00C625A2"/>
    <w:rsid w:val="00C750E3"/>
    <w:rsid w:val="00C866A2"/>
    <w:rsid w:val="00CA3CC0"/>
    <w:rsid w:val="00CB1CC5"/>
    <w:rsid w:val="00CB58FF"/>
    <w:rsid w:val="00CC3EBE"/>
    <w:rsid w:val="00CC50B3"/>
    <w:rsid w:val="00CD223B"/>
    <w:rsid w:val="00CD42AF"/>
    <w:rsid w:val="00CD4B51"/>
    <w:rsid w:val="00CF0268"/>
    <w:rsid w:val="00CF25BC"/>
    <w:rsid w:val="00D0025A"/>
    <w:rsid w:val="00D219B6"/>
    <w:rsid w:val="00D34C56"/>
    <w:rsid w:val="00D66216"/>
    <w:rsid w:val="00D81F96"/>
    <w:rsid w:val="00D90F38"/>
    <w:rsid w:val="00D91DA4"/>
    <w:rsid w:val="00D924A0"/>
    <w:rsid w:val="00DC621F"/>
    <w:rsid w:val="00DD6AE9"/>
    <w:rsid w:val="00DD6CC9"/>
    <w:rsid w:val="00DF0AF6"/>
    <w:rsid w:val="00E03EDC"/>
    <w:rsid w:val="00E23B15"/>
    <w:rsid w:val="00E53E06"/>
    <w:rsid w:val="00E61E1E"/>
    <w:rsid w:val="00E74C63"/>
    <w:rsid w:val="00E77E1E"/>
    <w:rsid w:val="00EA12C0"/>
    <w:rsid w:val="00EA1E68"/>
    <w:rsid w:val="00EA55AD"/>
    <w:rsid w:val="00EB1FCC"/>
    <w:rsid w:val="00EE3747"/>
    <w:rsid w:val="00EF21B2"/>
    <w:rsid w:val="00F17768"/>
    <w:rsid w:val="00F302D3"/>
    <w:rsid w:val="00F437CD"/>
    <w:rsid w:val="00F54EF7"/>
    <w:rsid w:val="00F6347B"/>
    <w:rsid w:val="00FA46B9"/>
    <w:rsid w:val="00FB241F"/>
    <w:rsid w:val="00FB6F72"/>
    <w:rsid w:val="00FD1D7F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99"/>
    <w:semiHidden/>
    <w:unhideWhenUsed/>
    <w:rsid w:val="008369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696F"/>
  </w:style>
  <w:style w:type="paragraph" w:styleId="a7">
    <w:name w:val="Balloon Text"/>
    <w:basedOn w:val="a"/>
    <w:link w:val="a8"/>
    <w:uiPriority w:val="99"/>
    <w:semiHidden/>
    <w:unhideWhenUsed/>
    <w:rsid w:val="00836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89725A"/>
    <w:pPr>
      <w:autoSpaceDE w:val="0"/>
      <w:autoSpaceDN w:val="0"/>
      <w:adjustRightInd w:val="0"/>
    </w:pPr>
    <w:rPr>
      <w:rFonts w:cs="Times New Roman"/>
      <w:szCs w:val="24"/>
    </w:rPr>
  </w:style>
  <w:style w:type="table" w:styleId="aa">
    <w:name w:val="Table Grid"/>
    <w:basedOn w:val="a1"/>
    <w:uiPriority w:val="59"/>
    <w:rsid w:val="00BF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99"/>
    <w:semiHidden/>
    <w:unhideWhenUsed/>
    <w:rsid w:val="008369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696F"/>
  </w:style>
  <w:style w:type="paragraph" w:styleId="a7">
    <w:name w:val="Balloon Text"/>
    <w:basedOn w:val="a"/>
    <w:link w:val="a8"/>
    <w:uiPriority w:val="99"/>
    <w:semiHidden/>
    <w:unhideWhenUsed/>
    <w:rsid w:val="00836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89725A"/>
    <w:pPr>
      <w:autoSpaceDE w:val="0"/>
      <w:autoSpaceDN w:val="0"/>
      <w:adjustRightInd w:val="0"/>
    </w:pPr>
    <w:rPr>
      <w:rFonts w:cs="Times New Roman"/>
      <w:szCs w:val="24"/>
    </w:rPr>
  </w:style>
  <w:style w:type="table" w:styleId="aa">
    <w:name w:val="Table Grid"/>
    <w:basedOn w:val="a1"/>
    <w:uiPriority w:val="59"/>
    <w:rsid w:val="00BF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11</cp:revision>
  <dcterms:created xsi:type="dcterms:W3CDTF">2018-01-18T10:02:00Z</dcterms:created>
  <dcterms:modified xsi:type="dcterms:W3CDTF">2018-01-26T10:35:00Z</dcterms:modified>
</cp:coreProperties>
</file>