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2E" w:rsidRPr="004A6435" w:rsidRDefault="000253E6" w:rsidP="00D3562E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5011745</wp:posOffset>
            </wp:positionH>
            <wp:positionV relativeFrom="paragraph">
              <wp:posOffset>-305804</wp:posOffset>
            </wp:positionV>
            <wp:extent cx="893445" cy="616585"/>
            <wp:effectExtent l="0" t="0" r="1905" b="0"/>
            <wp:wrapNone/>
            <wp:docPr id="2" name="Рисунок 2" descr="D:\YandexDisk\Скриншоты\2018-01-26_13-13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6_13-13-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62E" w:rsidRPr="004A6435">
        <w:rPr>
          <w:b/>
          <w:sz w:val="28"/>
        </w:rPr>
        <w:t>Инструкция по эксплуатации</w:t>
      </w:r>
    </w:p>
    <w:p w:rsidR="00D3562E" w:rsidRPr="00777FAA" w:rsidRDefault="00D3562E" w:rsidP="00777FAA">
      <w:pPr>
        <w:spacing w:before="60" w:after="60"/>
        <w:jc w:val="both"/>
        <w:rPr>
          <w:b/>
          <w:sz w:val="30"/>
          <w:szCs w:val="30"/>
        </w:rPr>
      </w:pPr>
      <w:r w:rsidRPr="00777FAA">
        <w:rPr>
          <w:b/>
          <w:sz w:val="30"/>
          <w:szCs w:val="30"/>
        </w:rPr>
        <w:t>TiSi.snap «ТиСи.снэп»</w:t>
      </w:r>
    </w:p>
    <w:p w:rsidR="00D3562E" w:rsidRPr="004A6435" w:rsidRDefault="00D3562E" w:rsidP="00D3562E">
      <w:pPr>
        <w:jc w:val="both"/>
        <w:rPr>
          <w:b/>
        </w:rPr>
      </w:pPr>
      <w:r w:rsidRPr="004A6435">
        <w:rPr>
          <w:b/>
        </w:rPr>
        <w:t xml:space="preserve">Перед </w:t>
      </w:r>
      <w:r w:rsidR="004A6435">
        <w:rPr>
          <w:b/>
        </w:rPr>
        <w:t>использованием данного продукта</w:t>
      </w:r>
      <w:r w:rsidRPr="004A6435">
        <w:rPr>
          <w:b/>
        </w:rPr>
        <w:t xml:space="preserve"> необходимо внимательно прочитать настоящую инструкцию.</w:t>
      </w:r>
      <w:r w:rsidR="00777FAA">
        <w:rPr>
          <w:b/>
        </w:rPr>
        <w:t xml:space="preserve"> </w:t>
      </w:r>
      <w:r w:rsidRPr="004A6435">
        <w:rPr>
          <w:b/>
        </w:rPr>
        <w:t>Производитель не несет ответственности за вред, причиненный вследствие невыполнения настоящей инструкции по эксплуатации.</w:t>
      </w:r>
    </w:p>
    <w:p w:rsidR="00D3562E" w:rsidRPr="00777FAA" w:rsidRDefault="00D3562E" w:rsidP="008F71B2">
      <w:pPr>
        <w:spacing w:before="60"/>
        <w:jc w:val="both"/>
        <w:rPr>
          <w:b/>
        </w:rPr>
      </w:pPr>
      <w:r w:rsidRPr="004A6435">
        <w:rPr>
          <w:b/>
        </w:rPr>
        <w:t>1.</w:t>
      </w:r>
      <w:r w:rsidRPr="004A6435">
        <w:rPr>
          <w:b/>
        </w:rPr>
        <w:tab/>
        <w:t>Описание продукта</w:t>
      </w:r>
    </w:p>
    <w:p w:rsidR="00D3562E" w:rsidRPr="004A6435" w:rsidRDefault="00D3562E" w:rsidP="00D3562E">
      <w:pPr>
        <w:jc w:val="both"/>
      </w:pPr>
      <w:r w:rsidRPr="004A6435">
        <w:t>TiSi.snap «ТиСи.снэп» является системой абатментов для крепления съемных зубных протезов. Для восстановления трения съемного протеза используется матричный силикон retention.sil «ретеншн.сил» с различными уровнями трения. TiSi.snap «ТиСи.снэп» представлен как стандартными прямыми абатментами, так и абатментами TiSi.snap «ТиСи.снэп» для установки под углом 17,5° и 35°.</w:t>
      </w:r>
    </w:p>
    <w:p w:rsidR="00D3562E" w:rsidRPr="00777FAA" w:rsidRDefault="00D3562E" w:rsidP="008F71B2">
      <w:pPr>
        <w:spacing w:before="60"/>
        <w:jc w:val="both"/>
        <w:rPr>
          <w:b/>
        </w:rPr>
      </w:pPr>
      <w:r w:rsidRPr="004A6435">
        <w:rPr>
          <w:b/>
        </w:rPr>
        <w:t>2.</w:t>
      </w:r>
      <w:r w:rsidRPr="004A6435">
        <w:rPr>
          <w:b/>
        </w:rPr>
        <w:tab/>
        <w:t>Показания</w:t>
      </w:r>
    </w:p>
    <w:p w:rsidR="00D3562E" w:rsidRPr="004A6435" w:rsidRDefault="00D3562E" w:rsidP="00D3562E">
      <w:pPr>
        <w:jc w:val="both"/>
      </w:pPr>
      <w:r w:rsidRPr="004A6435">
        <w:t>TiSi.snap «ТиСи.снэп» используется для крепления съемных зубных протезов</w:t>
      </w:r>
      <w:r w:rsidR="004A6435">
        <w:t>,</w:t>
      </w:r>
      <w:r w:rsidRPr="004A6435">
        <w:t xml:space="preserve"> поддерживаемых имплантатами.</w:t>
      </w:r>
    </w:p>
    <w:p w:rsidR="00D3562E" w:rsidRPr="004A6435" w:rsidRDefault="00D3562E" w:rsidP="00D3562E">
      <w:pPr>
        <w:jc w:val="both"/>
      </w:pPr>
      <w:r w:rsidRPr="004A6435">
        <w:t>Абатменты 17,5° и 35° используются для угловых имплантатов. В результате TiSi.snap «ТиСи.снэп» устанавливается практически в положение 0°. Для каждого абатмента допустимо отклонение в 12,5°.</w:t>
      </w:r>
    </w:p>
    <w:p w:rsidR="00D3562E" w:rsidRPr="00777FAA" w:rsidRDefault="00D3562E" w:rsidP="008F71B2">
      <w:pPr>
        <w:spacing w:before="60"/>
        <w:jc w:val="both"/>
        <w:rPr>
          <w:b/>
        </w:rPr>
      </w:pPr>
      <w:r w:rsidRPr="004A6435">
        <w:rPr>
          <w:b/>
        </w:rPr>
        <w:t>3.</w:t>
      </w:r>
      <w:r w:rsidRPr="004A6435">
        <w:rPr>
          <w:b/>
        </w:rPr>
        <w:tab/>
        <w:t>Противопоказания</w:t>
      </w:r>
    </w:p>
    <w:p w:rsidR="00D3562E" w:rsidRPr="004A6435" w:rsidRDefault="00D3562E" w:rsidP="00D3562E">
      <w:pPr>
        <w:jc w:val="both"/>
      </w:pPr>
      <w:r w:rsidRPr="004A6435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p w:rsidR="00D3562E" w:rsidRPr="004A6435" w:rsidRDefault="00777FAA" w:rsidP="00D3562E">
      <w:pPr>
        <w:jc w:val="both"/>
      </w:pPr>
      <w:r>
        <w:t>Кроме</w:t>
      </w:r>
      <w:r w:rsidR="00D3562E" w:rsidRPr="004A6435">
        <w:t xml:space="preserve"> того, систему фиксации протезов запрещается использовать для изготовления односторонних консольных протезов без поперечной поддержки.</w:t>
      </w:r>
    </w:p>
    <w:p w:rsidR="00D3562E" w:rsidRPr="00777FAA" w:rsidRDefault="004A6435" w:rsidP="008F71B2">
      <w:pPr>
        <w:spacing w:before="6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Хранение и срок службы</w:t>
      </w:r>
    </w:p>
    <w:p w:rsidR="00D3562E" w:rsidRPr="004A6435" w:rsidRDefault="00D3562E" w:rsidP="00D3562E">
      <w:pPr>
        <w:jc w:val="both"/>
      </w:pPr>
      <w:r w:rsidRPr="004A6435">
        <w:t>Продукт поставляется нестерильным, необходимо обеспечить хранение в сухом месте без пыли.</w:t>
      </w:r>
    </w:p>
    <w:p w:rsidR="00D3562E" w:rsidRPr="00777FAA" w:rsidRDefault="00D3562E" w:rsidP="008F71B2">
      <w:pPr>
        <w:spacing w:before="60"/>
        <w:jc w:val="both"/>
        <w:rPr>
          <w:b/>
        </w:rPr>
      </w:pPr>
      <w:r w:rsidRPr="004A6435">
        <w:rPr>
          <w:b/>
        </w:rPr>
        <w:t>5.</w:t>
      </w:r>
      <w:r w:rsidRPr="004A6435">
        <w:rPr>
          <w:b/>
        </w:rPr>
        <w:tab/>
        <w:t>Обработка</w:t>
      </w:r>
    </w:p>
    <w:p w:rsidR="00D3562E" w:rsidRPr="004A6435" w:rsidRDefault="00D3562E" w:rsidP="00D3562E">
      <w:pPr>
        <w:jc w:val="both"/>
      </w:pPr>
      <w:r w:rsidRPr="004A6435">
        <w:t>В целом</w:t>
      </w:r>
      <w:r w:rsidR="004A6435">
        <w:t>,</w:t>
      </w:r>
      <w:r w:rsidRPr="004A6435">
        <w:t xml:space="preserve"> мы рекомендуем тщательное хирургическое планирование и выбор компонентов для протезирования в зависимости от ситуации и типа протезирования.</w:t>
      </w:r>
    </w:p>
    <w:p w:rsidR="00D3562E" w:rsidRPr="004A6435" w:rsidRDefault="00D3562E" w:rsidP="00D3562E">
      <w:pPr>
        <w:jc w:val="both"/>
      </w:pPr>
      <w:r w:rsidRPr="004A6435">
        <w:t>Не допускается клинического применения крепежных винтов</w:t>
      </w:r>
      <w:r w:rsidR="004A6435">
        <w:t>,</w:t>
      </w:r>
      <w:r w:rsidRPr="004A6435">
        <w:t xml:space="preserve"> используемых в лаборатории, так как в лаборатории они </w:t>
      </w:r>
      <w:r w:rsidR="004A6435">
        <w:t>подвергаются нагрузке</w:t>
      </w:r>
      <w:r w:rsidRPr="004A6435">
        <w:t xml:space="preserve">, что означает, что нельзя гарантировать их долгосрочное и надежное позиционирование. Компания bredent medical </w:t>
      </w:r>
      <w:r w:rsidR="004A6435">
        <w:t>рекомендует</w:t>
      </w:r>
      <w:r w:rsidRPr="004A6435">
        <w:t xml:space="preserve"> использовать специальные лабораторные винты для работ в лаборатории.</w:t>
      </w:r>
    </w:p>
    <w:p w:rsidR="00D3562E" w:rsidRPr="004A6435" w:rsidRDefault="00D3562E" w:rsidP="00D3562E">
      <w:pPr>
        <w:jc w:val="both"/>
      </w:pPr>
      <w:r w:rsidRPr="004A6435">
        <w:t>Перед установкой все компоненты следует продезинфицировать (см. п. 8).</w:t>
      </w:r>
    </w:p>
    <w:p w:rsidR="00D3562E" w:rsidRPr="004A6435" w:rsidRDefault="00D3562E" w:rsidP="00D3562E">
      <w:pPr>
        <w:jc w:val="both"/>
      </w:pPr>
      <w:r w:rsidRPr="004A6435">
        <w:t>Абатменты TiSi.snap «ТиСи.снэп» могут устанавливаться в верхней части при индивидуальной подгонке. Для обеспечения достаточного трения требуется не менее 75 % поднутр</w:t>
      </w:r>
      <w:r w:rsidR="004A6435">
        <w:t>ен</w:t>
      </w:r>
      <w:r w:rsidRPr="004A6435">
        <w:t>ия зуба.</w:t>
      </w:r>
    </w:p>
    <w:p w:rsidR="00D3562E" w:rsidRPr="004A6435" w:rsidRDefault="00D3562E" w:rsidP="00D3562E">
      <w:pPr>
        <w:jc w:val="both"/>
      </w:pPr>
      <w:r w:rsidRPr="004A6435">
        <w:t>Значения моментов затяжки компонентов прот</w:t>
      </w:r>
      <w:r w:rsidR="004A6435">
        <w:t>езов приведены в таблице в п. 6</w:t>
      </w:r>
      <w:r w:rsidRPr="004A6435">
        <w:t xml:space="preserve"> «Технические данные». Абатменты STiSi.snap «ТиСи.снэп» представлены прямыми и угловыми абатментами для разной высоты десны.</w:t>
      </w:r>
    </w:p>
    <w:p w:rsidR="00D3562E" w:rsidRPr="004A6435" w:rsidRDefault="00D3562E" w:rsidP="00D3562E">
      <w:pPr>
        <w:jc w:val="both"/>
      </w:pPr>
      <w:r w:rsidRPr="004A6435">
        <w:t>При использовании абатментов TiSi.</w:t>
      </w:r>
      <w:r w:rsidR="00777FAA">
        <w:t>snap «ТиСи.снэп» на 17,5° и 35°</w:t>
      </w:r>
      <w:r w:rsidRPr="004A6435">
        <w:t xml:space="preserve"> колпачок накручивается впотай после того</w:t>
      </w:r>
      <w:r w:rsidR="004A6435">
        <w:t>,</w:t>
      </w:r>
      <w:r w:rsidRPr="004A6435">
        <w:t xml:space="preserve"> как был завинчен абатмент.</w:t>
      </w:r>
    </w:p>
    <w:p w:rsidR="00D3562E" w:rsidRPr="004A6435" w:rsidRDefault="00D3562E" w:rsidP="00777FAA">
      <w:pPr>
        <w:spacing w:before="60"/>
        <w:jc w:val="both"/>
        <w:rPr>
          <w:b/>
        </w:rPr>
      </w:pPr>
      <w:r w:rsidRPr="004A6435">
        <w:rPr>
          <w:b/>
        </w:rPr>
        <w:t>5.1</w:t>
      </w:r>
      <w:r w:rsidRPr="004A6435">
        <w:rPr>
          <w:b/>
        </w:rPr>
        <w:tab/>
        <w:t xml:space="preserve">Подготовка протеза </w:t>
      </w:r>
      <w:r w:rsidR="00777FAA" w:rsidRPr="00777FAA">
        <w:rPr>
          <w:b/>
        </w:rPr>
        <w:t>–</w:t>
      </w:r>
      <w:r w:rsidRPr="004A6435">
        <w:rPr>
          <w:b/>
        </w:rPr>
        <w:t xml:space="preserve"> стоматологическая практика</w:t>
      </w:r>
    </w:p>
    <w:p w:rsidR="00D3562E" w:rsidRPr="004A6435" w:rsidRDefault="00D3562E" w:rsidP="00D3562E">
      <w:pPr>
        <w:jc w:val="both"/>
      </w:pPr>
      <w:r w:rsidRPr="004A6435">
        <w:t>Посл</w:t>
      </w:r>
      <w:r w:rsidR="00777FAA">
        <w:t>е выбора подходящего абатмента</w:t>
      </w:r>
      <w:r w:rsidR="004A6435">
        <w:t xml:space="preserve"> </w:t>
      </w:r>
      <w:r w:rsidRPr="004A6435">
        <w:t>карбид-вольфрамовым бором создается место в соответствующей позиции протеза. Для обеспеч</w:t>
      </w:r>
      <w:r w:rsidR="004A6435">
        <w:t>ения достаточной степени трения</w:t>
      </w:r>
      <w:r w:rsidRPr="004A6435">
        <w:t xml:space="preserve"> вокруг TiSi.snap «ТиСи.снэп» должно быть не менее 1 мм силикона. Остатки полимера удалить из протеза</w:t>
      </w:r>
      <w:r w:rsidR="004A6435">
        <w:t>,</w:t>
      </w:r>
      <w:r w:rsidRPr="004A6435">
        <w:t xml:space="preserve"> и </w:t>
      </w:r>
      <w:r w:rsidR="004A6435">
        <w:t>на</w:t>
      </w:r>
      <w:r w:rsidRPr="004A6435">
        <w:t xml:space="preserve"> фрезерованный участок нанести праймер </w:t>
      </w:r>
      <w:r w:rsidR="00BD3ADF" w:rsidRPr="004A6435">
        <w:t xml:space="preserve">Multisil «Мультисил» </w:t>
      </w:r>
      <w:r w:rsidRPr="004A6435">
        <w:t xml:space="preserve">(№ 520 0100 4). Необходимо соблюдать инструкцию по применению праймера </w:t>
      </w:r>
      <w:r w:rsidR="00BD3ADF" w:rsidRPr="004A6435">
        <w:t>Multisil «</w:t>
      </w:r>
      <w:r w:rsidRPr="004A6435">
        <w:t>Мультисил</w:t>
      </w:r>
      <w:r w:rsidR="00BD3ADF" w:rsidRPr="004A6435">
        <w:t>»</w:t>
      </w:r>
      <w:r w:rsidRPr="004A6435">
        <w:t>. Дозатором нанести ретенционный силикон retention.sil «ретеншн.сил» (№ 580 RTSET) и вставить протез. Силикон затвердевает через 3 минут</w:t>
      </w:r>
      <w:r w:rsidR="004A6435">
        <w:t>ы</w:t>
      </w:r>
      <w:r w:rsidR="00777FAA">
        <w:t>. Следует</w:t>
      </w:r>
      <w:r w:rsidRPr="004A6435">
        <w:t xml:space="preserve"> соблюдать </w:t>
      </w:r>
      <w:r w:rsidRPr="004A6435">
        <w:lastRenderedPageBreak/>
        <w:t>инструкцию по применению retention.sil «ретеншн.сил». Снять протез и бором удалить излишки силикона.</w:t>
      </w:r>
    </w:p>
    <w:p w:rsidR="00D3562E" w:rsidRPr="004A6435" w:rsidRDefault="00777FAA" w:rsidP="00D3562E">
      <w:pPr>
        <w:jc w:val="both"/>
        <w:rPr>
          <w:b/>
        </w:rPr>
      </w:pPr>
      <w:r>
        <w:rPr>
          <w:b/>
        </w:rPr>
        <w:t>5.2</w:t>
      </w:r>
      <w:r w:rsidR="00D3562E" w:rsidRPr="004A6435">
        <w:rPr>
          <w:b/>
        </w:rPr>
        <w:tab/>
        <w:t xml:space="preserve">Подготовка протеза </w:t>
      </w:r>
      <w:r w:rsidRPr="00777FAA">
        <w:rPr>
          <w:b/>
        </w:rPr>
        <w:t>–</w:t>
      </w:r>
      <w:r w:rsidR="00D3562E" w:rsidRPr="004A6435">
        <w:rPr>
          <w:b/>
        </w:rPr>
        <w:t xml:space="preserve"> стоматологическая лаборатория</w:t>
      </w:r>
    </w:p>
    <w:p w:rsidR="00D3562E" w:rsidRPr="004A6435" w:rsidRDefault="00D3562E" w:rsidP="00D3562E">
      <w:pPr>
        <w:jc w:val="both"/>
      </w:pPr>
      <w:r w:rsidRPr="004A6435">
        <w:t xml:space="preserve">Процедура аналогична той, что описана в п. 5.1 «Подготовка протеза </w:t>
      </w:r>
      <w:r w:rsidR="00777FAA" w:rsidRPr="00777FAA">
        <w:t>–</w:t>
      </w:r>
      <w:r w:rsidRPr="004A6435">
        <w:t xml:space="preserve"> стоматологическая практика». Фрикционный силикон всегда наносится в кабинете стоматолога.</w:t>
      </w:r>
    </w:p>
    <w:p w:rsidR="00D3562E" w:rsidRPr="004A6435" w:rsidRDefault="00D3562E" w:rsidP="008F71B2">
      <w:pPr>
        <w:spacing w:before="60" w:after="60"/>
        <w:jc w:val="both"/>
        <w:rPr>
          <w:b/>
        </w:rPr>
      </w:pPr>
      <w:r w:rsidRPr="004A6435">
        <w:rPr>
          <w:b/>
        </w:rPr>
        <w:t>6.</w:t>
      </w:r>
      <w:r w:rsidRPr="004A6435">
        <w:rPr>
          <w:b/>
        </w:rPr>
        <w:tab/>
        <w:t>Технические данные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22"/>
        <w:gridCol w:w="2976"/>
        <w:gridCol w:w="1109"/>
        <w:gridCol w:w="961"/>
        <w:gridCol w:w="2548"/>
        <w:gridCol w:w="1055"/>
      </w:tblGrid>
      <w:tr w:rsidR="00D3562E" w:rsidRPr="004A6435" w:rsidTr="00D3562E">
        <w:trPr>
          <w:trHeight w:val="360"/>
        </w:trPr>
        <w:tc>
          <w:tcPr>
            <w:tcW w:w="532" w:type="pct"/>
            <w:tcBorders>
              <w:bottom w:val="nil"/>
            </w:tcBorders>
            <w:shd w:val="clear" w:color="auto" w:fill="B1B0B0"/>
          </w:tcPr>
          <w:p w:rsidR="00D3562E" w:rsidRPr="00777FAA" w:rsidRDefault="00D3562E" w:rsidP="00D3562E">
            <w:pPr>
              <w:rPr>
                <w:b/>
                <w:sz w:val="22"/>
              </w:rPr>
            </w:pPr>
            <w:r w:rsidRPr="00777FAA">
              <w:rPr>
                <w:b/>
                <w:sz w:val="22"/>
              </w:rPr>
              <w:t>№</w:t>
            </w:r>
          </w:p>
        </w:tc>
        <w:tc>
          <w:tcPr>
            <w:tcW w:w="1605" w:type="pct"/>
            <w:tcBorders>
              <w:bottom w:val="nil"/>
            </w:tcBorders>
            <w:shd w:val="clear" w:color="auto" w:fill="B1B0B0"/>
          </w:tcPr>
          <w:p w:rsidR="00D3562E" w:rsidRPr="00777FAA" w:rsidRDefault="00D3562E" w:rsidP="00D3562E">
            <w:pPr>
              <w:rPr>
                <w:b/>
                <w:sz w:val="22"/>
              </w:rPr>
            </w:pPr>
            <w:r w:rsidRPr="00777FAA">
              <w:rPr>
                <w:b/>
                <w:sz w:val="22"/>
              </w:rPr>
              <w:t>Обозначение</w:t>
            </w:r>
          </w:p>
        </w:tc>
        <w:tc>
          <w:tcPr>
            <w:tcW w:w="492" w:type="pct"/>
            <w:tcBorders>
              <w:bottom w:val="nil"/>
            </w:tcBorders>
            <w:shd w:val="clear" w:color="auto" w:fill="B1B0B0"/>
          </w:tcPr>
          <w:p w:rsidR="00D3562E" w:rsidRPr="00777FAA" w:rsidRDefault="00D3562E" w:rsidP="00D3562E">
            <w:pPr>
              <w:rPr>
                <w:b/>
                <w:sz w:val="22"/>
              </w:rPr>
            </w:pPr>
            <w:r w:rsidRPr="00777FAA">
              <w:rPr>
                <w:b/>
                <w:sz w:val="22"/>
              </w:rPr>
              <w:t xml:space="preserve">Высота </w:t>
            </w:r>
            <w:r w:rsidRPr="008F71B2">
              <w:rPr>
                <w:b/>
                <w:sz w:val="22"/>
              </w:rPr>
              <w:t>па</w:t>
            </w:r>
            <w:r w:rsidRPr="00777FAA">
              <w:rPr>
                <w:b/>
                <w:sz w:val="22"/>
              </w:rPr>
              <w:t>трицы</w:t>
            </w:r>
          </w:p>
        </w:tc>
        <w:tc>
          <w:tcPr>
            <w:tcW w:w="493" w:type="pct"/>
            <w:tcBorders>
              <w:bottom w:val="nil"/>
            </w:tcBorders>
            <w:shd w:val="clear" w:color="auto" w:fill="B1B0B0"/>
          </w:tcPr>
          <w:p w:rsidR="00D3562E" w:rsidRPr="00777FAA" w:rsidRDefault="00D3562E" w:rsidP="00D3562E">
            <w:pPr>
              <w:rPr>
                <w:b/>
                <w:sz w:val="22"/>
              </w:rPr>
            </w:pPr>
            <w:r w:rsidRPr="00777FAA">
              <w:rPr>
                <w:b/>
                <w:sz w:val="22"/>
              </w:rPr>
              <w:t>Высота десны</w:t>
            </w:r>
          </w:p>
        </w:tc>
        <w:tc>
          <w:tcPr>
            <w:tcW w:w="1381" w:type="pct"/>
            <w:tcBorders>
              <w:bottom w:val="nil"/>
            </w:tcBorders>
            <w:shd w:val="clear" w:color="auto" w:fill="B1B0B0"/>
          </w:tcPr>
          <w:p w:rsidR="00D3562E" w:rsidRPr="00777FAA" w:rsidRDefault="00D3562E" w:rsidP="00D3562E">
            <w:pPr>
              <w:rPr>
                <w:b/>
                <w:sz w:val="22"/>
              </w:rPr>
            </w:pPr>
            <w:r w:rsidRPr="00777FAA">
              <w:rPr>
                <w:b/>
                <w:sz w:val="22"/>
              </w:rPr>
              <w:t>Материал</w:t>
            </w:r>
          </w:p>
        </w:tc>
        <w:tc>
          <w:tcPr>
            <w:tcW w:w="497" w:type="pct"/>
            <w:tcBorders>
              <w:bottom w:val="nil"/>
            </w:tcBorders>
            <w:shd w:val="clear" w:color="auto" w:fill="B1B0B0"/>
          </w:tcPr>
          <w:p w:rsidR="00D3562E" w:rsidRPr="00777FAA" w:rsidRDefault="00D3562E" w:rsidP="00D3562E">
            <w:pPr>
              <w:rPr>
                <w:b/>
                <w:sz w:val="22"/>
              </w:rPr>
            </w:pPr>
            <w:r w:rsidRPr="00777FAA">
              <w:rPr>
                <w:b/>
                <w:sz w:val="22"/>
              </w:rPr>
              <w:t>Момент затяжки</w:t>
            </w:r>
          </w:p>
        </w:tc>
      </w:tr>
      <w:tr w:rsidR="00D3562E" w:rsidRPr="004A6435" w:rsidTr="00D3562E">
        <w:trPr>
          <w:trHeight w:val="140"/>
        </w:trPr>
        <w:tc>
          <w:tcPr>
            <w:tcW w:w="532" w:type="pct"/>
            <w:tcBorders>
              <w:top w:val="nil"/>
            </w:tcBorders>
          </w:tcPr>
          <w:p w:rsidR="00D3562E" w:rsidRPr="00777FAA" w:rsidRDefault="00D3562E" w:rsidP="00D3562E">
            <w:pPr>
              <w:rPr>
                <w:sz w:val="22"/>
              </w:rPr>
            </w:pPr>
          </w:p>
        </w:tc>
        <w:tc>
          <w:tcPr>
            <w:tcW w:w="1605" w:type="pct"/>
            <w:tcBorders>
              <w:top w:val="nil"/>
            </w:tcBorders>
          </w:tcPr>
          <w:p w:rsidR="00D3562E" w:rsidRPr="00777FAA" w:rsidRDefault="00D3562E" w:rsidP="00D3562E">
            <w:pPr>
              <w:rPr>
                <w:sz w:val="22"/>
              </w:rPr>
            </w:pPr>
          </w:p>
        </w:tc>
        <w:tc>
          <w:tcPr>
            <w:tcW w:w="492" w:type="pct"/>
            <w:tcBorders>
              <w:top w:val="nil"/>
            </w:tcBorders>
          </w:tcPr>
          <w:p w:rsidR="00D3562E" w:rsidRPr="00777FAA" w:rsidRDefault="00D3562E" w:rsidP="00D3562E">
            <w:pPr>
              <w:rPr>
                <w:b/>
                <w:sz w:val="22"/>
              </w:rPr>
            </w:pPr>
          </w:p>
        </w:tc>
        <w:tc>
          <w:tcPr>
            <w:tcW w:w="493" w:type="pct"/>
            <w:tcBorders>
              <w:top w:val="nil"/>
            </w:tcBorders>
          </w:tcPr>
          <w:p w:rsidR="00D3562E" w:rsidRPr="00777FAA" w:rsidRDefault="00D3562E" w:rsidP="00D3562E">
            <w:pPr>
              <w:rPr>
                <w:b/>
                <w:sz w:val="22"/>
              </w:rPr>
            </w:pPr>
          </w:p>
        </w:tc>
        <w:tc>
          <w:tcPr>
            <w:tcW w:w="1381" w:type="pct"/>
            <w:tcBorders>
              <w:top w:val="nil"/>
            </w:tcBorders>
          </w:tcPr>
          <w:p w:rsidR="00D3562E" w:rsidRPr="00777FAA" w:rsidRDefault="00D3562E" w:rsidP="00D3562E">
            <w:pPr>
              <w:rPr>
                <w:sz w:val="22"/>
              </w:rPr>
            </w:pPr>
          </w:p>
        </w:tc>
        <w:tc>
          <w:tcPr>
            <w:tcW w:w="497" w:type="pct"/>
            <w:tcBorders>
              <w:top w:val="nil"/>
            </w:tcBorders>
          </w:tcPr>
          <w:p w:rsidR="00D3562E" w:rsidRPr="00777FAA" w:rsidRDefault="00D3562E" w:rsidP="00D3562E">
            <w:pPr>
              <w:rPr>
                <w:sz w:val="22"/>
              </w:rPr>
            </w:pPr>
          </w:p>
        </w:tc>
      </w:tr>
    </w:tbl>
    <w:p w:rsidR="00D3562E" w:rsidRPr="004A6435" w:rsidRDefault="000253E6" w:rsidP="008F71B2">
      <w:pPr>
        <w:spacing w:before="60" w:after="6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445FFCB" wp14:editId="4C72D720">
            <wp:simplePos x="0" y="0"/>
            <wp:positionH relativeFrom="column">
              <wp:posOffset>3810</wp:posOffset>
            </wp:positionH>
            <wp:positionV relativeFrom="paragraph">
              <wp:posOffset>249555</wp:posOffset>
            </wp:positionV>
            <wp:extent cx="263525" cy="818515"/>
            <wp:effectExtent l="0" t="0" r="3175" b="635"/>
            <wp:wrapTight wrapText="bothSides">
              <wp:wrapPolygon edited="0">
                <wp:start x="0" y="0"/>
                <wp:lineTo x="0" y="21114"/>
                <wp:lineTo x="20299" y="21114"/>
                <wp:lineTo x="20299" y="0"/>
                <wp:lineTo x="0" y="0"/>
              </wp:wrapPolygon>
            </wp:wrapTight>
            <wp:docPr id="5" name="Рисунок 5" descr="D:\YandexDisk\Скриншоты\2018-01-26_13-14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\Скриншоты\2018-01-26_13-14-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62E" w:rsidRPr="004A6435">
        <w:rPr>
          <w:b/>
        </w:rPr>
        <w:t>7.</w:t>
      </w:r>
      <w:r w:rsidR="00D3562E" w:rsidRPr="004A6435">
        <w:rPr>
          <w:b/>
        </w:rPr>
        <w:tab/>
        <w:t>Символы</w:t>
      </w:r>
    </w:p>
    <w:p w:rsidR="00D3562E" w:rsidRPr="004A6435" w:rsidRDefault="00D3562E" w:rsidP="00D3562E">
      <w:pPr>
        <w:jc w:val="both"/>
      </w:pPr>
      <w:r w:rsidRPr="004A6435">
        <w:t>Номер партии</w:t>
      </w:r>
    </w:p>
    <w:p w:rsidR="00D3562E" w:rsidRPr="004A6435" w:rsidRDefault="00D3562E" w:rsidP="00D3562E">
      <w:pPr>
        <w:jc w:val="both"/>
      </w:pPr>
      <w:r w:rsidRPr="004A6435">
        <w:t xml:space="preserve">Соблюдать инструкцию по эксплуатации </w:t>
      </w:r>
    </w:p>
    <w:p w:rsidR="00D3562E" w:rsidRPr="000253E6" w:rsidRDefault="00D3562E" w:rsidP="00D3562E">
      <w:pPr>
        <w:jc w:val="both"/>
      </w:pPr>
      <w:r w:rsidRPr="000253E6">
        <w:t>Одноразовый</w:t>
      </w:r>
    </w:p>
    <w:p w:rsidR="00D3562E" w:rsidRPr="000253E6" w:rsidRDefault="00D3562E" w:rsidP="00D3562E">
      <w:pPr>
        <w:jc w:val="both"/>
      </w:pPr>
      <w:r w:rsidRPr="000253E6">
        <w:t>Хранить в сухом месте</w:t>
      </w:r>
    </w:p>
    <w:p w:rsidR="00D3562E" w:rsidRPr="004A6435" w:rsidRDefault="00D3562E" w:rsidP="00D3562E">
      <w:pPr>
        <w:jc w:val="both"/>
      </w:pPr>
      <w:r w:rsidRPr="000253E6">
        <w:t>Нестерильно</w:t>
      </w:r>
    </w:p>
    <w:p w:rsidR="00D3562E" w:rsidRPr="008F71B2" w:rsidRDefault="00D3562E" w:rsidP="008F71B2">
      <w:pPr>
        <w:spacing w:before="60"/>
        <w:jc w:val="both"/>
        <w:rPr>
          <w:b/>
        </w:rPr>
      </w:pPr>
      <w:r w:rsidRPr="004A6435">
        <w:rPr>
          <w:b/>
        </w:rPr>
        <w:t>8.</w:t>
      </w:r>
      <w:r w:rsidRPr="004A6435">
        <w:rPr>
          <w:b/>
        </w:rPr>
        <w:tab/>
        <w:t>Дополнительная информация</w:t>
      </w:r>
    </w:p>
    <w:p w:rsidR="00D3562E" w:rsidRPr="004A6435" w:rsidRDefault="00D3562E" w:rsidP="00D3562E">
      <w:pPr>
        <w:jc w:val="both"/>
      </w:pPr>
      <w:r w:rsidRPr="004A6435">
        <w:t>Данное изд</w:t>
      </w:r>
      <w:bookmarkStart w:id="0" w:name="_GoBack"/>
      <w:bookmarkEnd w:id="0"/>
      <w:r w:rsidRPr="004A6435">
        <w:t xml:space="preserve">елие предназначено только для использования стоматологами, зубными техниками и обученным персоналом зубных клиник. </w:t>
      </w:r>
    </w:p>
    <w:p w:rsidR="00D3562E" w:rsidRPr="004A6435" w:rsidRDefault="00D3562E" w:rsidP="00D3562E">
      <w:pPr>
        <w:jc w:val="both"/>
      </w:pPr>
      <w:r w:rsidRPr="004A6435">
        <w:t>Использовать только с оригинальным инструментом и компонентами. Необходимо записывать номер партии всех компонентов для обеспечения прослеживаемости и работы с рекламациями.</w:t>
      </w:r>
    </w:p>
    <w:p w:rsidR="00D3562E" w:rsidRPr="004A6435" w:rsidRDefault="00D3562E" w:rsidP="00D3562E">
      <w:pPr>
        <w:jc w:val="both"/>
      </w:pPr>
      <w:r w:rsidRPr="004A6435">
        <w:t>Перед установкой в ротовую полость пациента все компоненты необходимо продезинфицировать. Допускается применение только стандартных дезинфицирующих средств для стоматолог</w:t>
      </w:r>
      <w:r w:rsidR="008F71B2">
        <w:t>ических инструментов, например, Dürr ID 212 forte. Следует</w:t>
      </w:r>
      <w:r w:rsidRPr="004A6435">
        <w:t xml:space="preserve"> соблюдать инструкции по применению дезинфициру</w:t>
      </w:r>
      <w:r w:rsidR="004A6435">
        <w:t>ющих средств. После дезинфекции</w:t>
      </w:r>
      <w:r w:rsidRPr="004A6435">
        <w:t xml:space="preserve"> остатки дезинфицирующего средства необходимо тщательно удалить с компонентов (см. инструкции производителя дезинфицирующего средства, </w:t>
      </w:r>
      <w:r w:rsidR="00BD3ADF" w:rsidRPr="004A6435">
        <w:t>например,</w:t>
      </w:r>
      <w:r w:rsidR="008F71B2">
        <w:t xml:space="preserve"> смыть водой для </w:t>
      </w:r>
      <w:r w:rsidRPr="004A6435">
        <w:t>ID212</w:t>
      </w:r>
      <w:r w:rsidR="008F71B2">
        <w:t xml:space="preserve"> forte</w:t>
      </w:r>
      <w:r w:rsidR="004A6435">
        <w:t>). При осмотрах пациента</w:t>
      </w:r>
      <w:r w:rsidRPr="004A6435">
        <w:t xml:space="preserve"> необходимо проверять крепление ортопедического протеза или крепежных элементов, так как ослабление винтов может привести к усталостному разрушению и аспирации или проглатыванию осколков. Следует назначать не менее одного осмотра в год.</w:t>
      </w:r>
    </w:p>
    <w:p w:rsidR="00D3562E" w:rsidRPr="004A6435" w:rsidRDefault="00D3562E" w:rsidP="00D3562E">
      <w:pPr>
        <w:jc w:val="both"/>
      </w:pPr>
      <w:r w:rsidRPr="004A6435">
        <w:t xml:space="preserve">Все изделия с маркировкой </w:t>
      </w:r>
      <w:r w:rsidRPr="004A6435">
        <w:rPr>
          <w:noProof/>
          <w:lang w:eastAsia="ru-RU"/>
        </w:rPr>
        <w:drawing>
          <wp:inline distT="0" distB="0" distL="0" distR="0" wp14:anchorId="26E06A90" wp14:editId="0A64D93A">
            <wp:extent cx="111607" cy="111607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435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D3562E" w:rsidRPr="004A6435" w:rsidRDefault="00D3562E" w:rsidP="008F71B2">
      <w:pPr>
        <w:spacing w:after="60"/>
        <w:jc w:val="both"/>
      </w:pPr>
      <w:r w:rsidRPr="004A6435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изготовитель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D3562E" w:rsidRPr="008F71B2" w:rsidRDefault="00D3562E" w:rsidP="00B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</w:rPr>
      </w:pPr>
      <w:r w:rsidRPr="008F71B2">
        <w:rPr>
          <w:b/>
          <w:sz w:val="23"/>
          <w:szCs w:val="23"/>
        </w:rPr>
        <w:t>Заявление об ограничении ответственности:</w:t>
      </w:r>
    </w:p>
    <w:p w:rsidR="00D3562E" w:rsidRPr="008F71B2" w:rsidRDefault="00D3562E" w:rsidP="00B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8F71B2">
        <w:rPr>
          <w:sz w:val="23"/>
          <w:szCs w:val="23"/>
        </w:rPr>
        <w:t>Термины «Straumann» и «Bone Level», используемые в настоящей инструкции по эксплуатации, являются зарегистрированными товарными знаками компаний Straumann Holding AG, Швейцария</w:t>
      </w:r>
      <w:r w:rsidR="00E174C2">
        <w:rPr>
          <w:sz w:val="23"/>
          <w:szCs w:val="23"/>
        </w:rPr>
        <w:t>,</w:t>
      </w:r>
      <w:r w:rsidRPr="008F71B2">
        <w:rPr>
          <w:sz w:val="23"/>
          <w:szCs w:val="23"/>
        </w:rPr>
        <w:t xml:space="preserve"> или Straumann Group. Термины «Astra Tech» и «Osseo </w:t>
      </w:r>
      <w:r w:rsidR="004A6435" w:rsidRPr="008F71B2">
        <w:rPr>
          <w:sz w:val="23"/>
          <w:szCs w:val="23"/>
        </w:rPr>
        <w:t>Speed», неоднократно используем</w:t>
      </w:r>
      <w:r w:rsidRPr="008F71B2">
        <w:rPr>
          <w:sz w:val="23"/>
          <w:szCs w:val="23"/>
        </w:rPr>
        <w:t>ые в настоящей инструкции по эксплуатации, являются зарегистрированными товарными знаками компаний Astra Tech Aktiebolag, Швеция</w:t>
      </w:r>
      <w:r w:rsidR="00E174C2">
        <w:rPr>
          <w:sz w:val="23"/>
          <w:szCs w:val="23"/>
        </w:rPr>
        <w:t>,</w:t>
      </w:r>
      <w:r w:rsidRPr="008F71B2">
        <w:rPr>
          <w:sz w:val="23"/>
          <w:szCs w:val="23"/>
        </w:rPr>
        <w:t xml:space="preserve"> или Dentsply Group. Термины «Nobel Biocare» и «Nobel Active», неоднократно использ</w:t>
      </w:r>
      <w:r w:rsidR="004A6435" w:rsidRPr="008F71B2">
        <w:rPr>
          <w:sz w:val="23"/>
          <w:szCs w:val="23"/>
        </w:rPr>
        <w:t>уем</w:t>
      </w:r>
      <w:r w:rsidRPr="008F71B2">
        <w:rPr>
          <w:sz w:val="23"/>
          <w:szCs w:val="23"/>
        </w:rPr>
        <w:t>ые в настоящей инструкции по эксплуатации, являются зарегистрированными товарными знаками компаний Nobel Biocare AB, Швеция</w:t>
      </w:r>
      <w:r w:rsidR="00E174C2">
        <w:rPr>
          <w:sz w:val="23"/>
          <w:szCs w:val="23"/>
        </w:rPr>
        <w:t>,</w:t>
      </w:r>
      <w:r w:rsidRPr="008F71B2">
        <w:rPr>
          <w:sz w:val="23"/>
          <w:szCs w:val="23"/>
        </w:rPr>
        <w:t xml:space="preserve"> или Nobel Biocare Group.</w:t>
      </w:r>
    </w:p>
    <w:p w:rsidR="00BD3ADF" w:rsidRPr="004A6435" w:rsidRDefault="00BD3ADF" w:rsidP="00BD3ADF">
      <w:pPr>
        <w:jc w:val="both"/>
      </w:pPr>
    </w:p>
    <w:p w:rsidR="00E174C2" w:rsidRPr="00B126B6" w:rsidRDefault="00E174C2" w:rsidP="00E174C2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E174C2" w:rsidRPr="00B126B6" w:rsidTr="00603A20">
        <w:tc>
          <w:tcPr>
            <w:tcW w:w="2093" w:type="dxa"/>
          </w:tcPr>
          <w:p w:rsidR="00E174C2" w:rsidRPr="00B126B6" w:rsidRDefault="00E174C2" w:rsidP="00603A20">
            <w:r w:rsidRPr="00B126B6"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F29D88C" wp14:editId="436539AB">
                      <wp:simplePos x="0" y="0"/>
                      <wp:positionH relativeFrom="page">
                        <wp:posOffset>107950</wp:posOffset>
                      </wp:positionH>
                      <wp:positionV relativeFrom="paragraph">
                        <wp:posOffset>80684</wp:posOffset>
                      </wp:positionV>
                      <wp:extent cx="1077595" cy="354965"/>
                      <wp:effectExtent l="19050" t="0" r="27305" b="4508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7595" cy="354965"/>
                                <a:chOff x="170" y="28"/>
                                <a:chExt cx="1697" cy="559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" y="27"/>
                                  <a:ext cx="1697" cy="5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99"/>
                                  <a:ext cx="1697" cy="559"/>
                                </a:xfrm>
                                <a:custGeom>
                                  <a:avLst/>
                                  <a:gdLst>
                                    <a:gd name="T0" fmla="*/ 170 w 1697"/>
                                    <a:gd name="T1" fmla="+- 0 28 799"/>
                                    <a:gd name="T2" fmla="*/ 28 h 559"/>
                                    <a:gd name="T3" fmla="*/ 1866 w 1697"/>
                                    <a:gd name="T4" fmla="+- 0 28 799"/>
                                    <a:gd name="T5" fmla="*/ 28 h 559"/>
                                    <a:gd name="T6" fmla="*/ 1866 w 1697"/>
                                    <a:gd name="T7" fmla="+- 0 587 799"/>
                                    <a:gd name="T8" fmla="*/ 587 h 559"/>
                                    <a:gd name="T9" fmla="*/ 170 w 1697"/>
                                    <a:gd name="T10" fmla="+- 0 587 799"/>
                                    <a:gd name="T11" fmla="*/ 587 h 559"/>
                                    <a:gd name="T12" fmla="*/ 170 w 1697"/>
                                    <a:gd name="T13" fmla="+- 0 28 799"/>
                                    <a:gd name="T14" fmla="*/ 28 h 559"/>
                                    <a:gd name="T15" fmla="*/ 170 w 1697"/>
                                    <a:gd name="T16" fmla="+- 0 28 799"/>
                                    <a:gd name="T17" fmla="*/ 28 h 559"/>
                                    <a:gd name="T18" fmla="*/ 1866 w 1697"/>
                                    <a:gd name="T19" fmla="+- 0 587 799"/>
                                    <a:gd name="T20" fmla="*/ 587 h 559"/>
                                    <a:gd name="T21" fmla="*/ 1866 w 1697"/>
                                    <a:gd name="T22" fmla="+- 0 28 799"/>
                                    <a:gd name="T23" fmla="*/ 28 h 559"/>
                                    <a:gd name="T24" fmla="*/ 170 w 1697"/>
                                    <a:gd name="T25" fmla="+- 0 587 799"/>
                                    <a:gd name="T26" fmla="*/ 587 h 559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</a:cxnLst>
                                  <a:rect l="0" t="0" r="r" b="b"/>
                                  <a:pathLst>
                                    <a:path w="1697" h="559">
                                      <a:moveTo>
                                        <a:pt x="170" y="-771"/>
                                      </a:moveTo>
                                      <a:lnTo>
                                        <a:pt x="1866" y="-771"/>
                                      </a:lnTo>
                                      <a:lnTo>
                                        <a:pt x="1866" y="-212"/>
                                      </a:lnTo>
                                      <a:lnTo>
                                        <a:pt x="170" y="-212"/>
                                      </a:lnTo>
                                      <a:lnTo>
                                        <a:pt x="170" y="-771"/>
                                      </a:lnTo>
                                      <a:close/>
                                      <a:moveTo>
                                        <a:pt x="170" y="-771"/>
                                      </a:moveTo>
                                      <a:lnTo>
                                        <a:pt x="1866" y="-212"/>
                                      </a:lnTo>
                                      <a:moveTo>
                                        <a:pt x="1866" y="-771"/>
                                      </a:moveTo>
                                      <a:lnTo>
                                        <a:pt x="170" y="-21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8.5pt;margin-top:6.35pt;width:84.85pt;height:27.95pt;z-index:251660288;mso-position-horizontal-relative:page" coordorigin="170,28" coordsize="1697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">
                      <v:rect id="Rectangle 3" o:spid="_x0000_s1027" style="position:absolute;left:170;top:27;width:169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uPcAA&#10;AADaAAAADwAAAGRycy9kb3ducmV2LnhtbESPQYvCMBSE74L/ITzBm6YKylKNogVBL8LWlb0+mmdb&#10;TF5KE2v990ZY2OMwM98w621vjeio9bVjBbNpAoK4cLrmUsHP5TD5AuEDskbjmBS8yMN2MxysMdXu&#10;yd/U5aEUEcI+RQVVCE0qpS8qsuinriGO3s21FkOUbSl1i88It0bOk2QpLdYcFypsKKuouOcPq+Bc&#10;XBcHm3T7q8mdO2GWXcxvrdR41O9WIAL14T/81z5qBUv4XIk3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AuPcAAAADaAAAADwAAAAAAAAAAAAAAAACYAgAAZHJzL2Rvd25y&#10;ZXYueG1sUEsFBgAAAAAEAAQA9QAAAIUDAAAAAA==&#10;" fillcolor="#999" stroked="f"/>
                      <v:shape id="AutoShape 4" o:spid="_x0000_s1028" style="position:absolute;top:799;width:1697;height:559;visibility:visible;mso-wrap-style:square;v-text-anchor:top" coordsize="169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neMEA&#10;AADaAAAADwAAAGRycy9kb3ducmV2LnhtbESPzYrCQBCE7wu+w9CCt3XiD4lGRxFB8LKHNT5Ak2mT&#10;YKYnZiYmvr2zIOyxqKqvqO1+MLV4Uusqywpm0wgEcW51xYWCa3b6XoFwHlljbZkUvMjBfjf62mKq&#10;bc+/9Lz4QgQIuxQVlN43qZQuL8mgm9qGOHg32xr0QbaF1C32AW5qOY+iWBqsOCyU2NCxpPx+6YyC&#10;bki6RYLLa52d5n2T6cc6/omVmoyHwwaEp8H/hz/ts1aQwN+VcAPk7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xJ3jBAAAA2gAAAA8AAAAAAAAAAAAAAAAAmAIAAGRycy9kb3du&#10;cmV2LnhtbFBLBQYAAAAABAAEAPUAAACGAwAAAAA=&#10;" path="m170,-771r1696,l1866,-212r-1696,l170,-771xm170,-771r1696,559m1866,-771l170,-212e" filled="f" strokeweight="0">
                        <v:path arrowok="t" o:connecttype="custom" o:connectlocs="170,28;1866,28;1866,587;170,587;170,28;170,28;1866,587;1866,28;170,587" o:connectangles="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:rsidR="00E174C2" w:rsidRPr="00B126B6" w:rsidRDefault="00E174C2" w:rsidP="00603A20"/>
        </w:tc>
        <w:tc>
          <w:tcPr>
            <w:tcW w:w="6769" w:type="dxa"/>
          </w:tcPr>
          <w:p w:rsidR="00E174C2" w:rsidRPr="00622D08" w:rsidRDefault="00E174C2" w:rsidP="00603A20">
            <w:pPr>
              <w:rPr>
                <w:lang w:val="en-US"/>
              </w:rPr>
            </w:pPr>
            <w:r w:rsidRPr="00622D08">
              <w:rPr>
                <w:lang w:val="en-US"/>
              </w:rPr>
              <w:t xml:space="preserve">bredent medical GmbH &amp; Co. KG </w:t>
            </w:r>
          </w:p>
          <w:p w:rsidR="00E174C2" w:rsidRPr="00622D08" w:rsidRDefault="00E174C2" w:rsidP="00603A20">
            <w:pPr>
              <w:rPr>
                <w:lang w:val="en-US"/>
              </w:rPr>
            </w:pPr>
            <w:r w:rsidRPr="00622D08">
              <w:rPr>
                <w:lang w:val="en-US"/>
              </w:rPr>
              <w:t xml:space="preserve">Weissenhorner Str. 2 | 89250 </w:t>
            </w:r>
            <w:r w:rsidRPr="00B126B6">
              <w:t>Зенден</w:t>
            </w:r>
            <w:r w:rsidRPr="00622D08">
              <w:rPr>
                <w:lang w:val="en-US"/>
              </w:rPr>
              <w:t xml:space="preserve"> | </w:t>
            </w:r>
            <w:r w:rsidRPr="00B126B6">
              <w:t>Германия</w:t>
            </w:r>
          </w:p>
          <w:p w:rsidR="00E174C2" w:rsidRPr="00B126B6" w:rsidRDefault="00E174C2" w:rsidP="00603A20">
            <w:r w:rsidRPr="00B126B6">
              <w:t>Тел.: +49 7309 872-600 | Факс: +49 7309 872-635</w:t>
            </w:r>
          </w:p>
          <w:p w:rsidR="00E174C2" w:rsidRPr="00B126B6" w:rsidRDefault="00E174C2" w:rsidP="00603A20">
            <w:r w:rsidRPr="00B126B6">
              <w:t>www.bredent-medical.com | эл. почта: info-medical@bredent.com</w:t>
            </w:r>
          </w:p>
        </w:tc>
      </w:tr>
    </w:tbl>
    <w:p w:rsidR="00BD3ADF" w:rsidRPr="004A6435" w:rsidRDefault="00BD3ADF" w:rsidP="00BD3ADF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</w:tblGrid>
      <w:tr w:rsidR="00E174C2" w:rsidRPr="004A6435" w:rsidTr="009356D5">
        <w:tc>
          <w:tcPr>
            <w:tcW w:w="2093" w:type="dxa"/>
          </w:tcPr>
          <w:p w:rsidR="00E174C2" w:rsidRDefault="00E174C2" w:rsidP="009356D5"/>
          <w:p w:rsidR="00E174C2" w:rsidRDefault="00E174C2" w:rsidP="009356D5"/>
          <w:p w:rsidR="00E174C2" w:rsidRPr="004A6435" w:rsidRDefault="00E174C2" w:rsidP="009356D5"/>
        </w:tc>
        <w:tc>
          <w:tcPr>
            <w:tcW w:w="709" w:type="dxa"/>
          </w:tcPr>
          <w:p w:rsidR="00E174C2" w:rsidRPr="004A6435" w:rsidRDefault="00E174C2" w:rsidP="009356D5"/>
        </w:tc>
      </w:tr>
    </w:tbl>
    <w:p w:rsidR="00BD3ADF" w:rsidRPr="004A6435" w:rsidRDefault="00BD3ADF" w:rsidP="00BD3ADF">
      <w:pPr>
        <w:jc w:val="both"/>
      </w:pPr>
    </w:p>
    <w:sectPr w:rsidR="00BD3ADF" w:rsidRPr="004A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2E"/>
    <w:rsid w:val="00023C54"/>
    <w:rsid w:val="000253E6"/>
    <w:rsid w:val="00040D58"/>
    <w:rsid w:val="0004330D"/>
    <w:rsid w:val="000643C9"/>
    <w:rsid w:val="00066DF3"/>
    <w:rsid w:val="0007764D"/>
    <w:rsid w:val="000C739E"/>
    <w:rsid w:val="000D76B9"/>
    <w:rsid w:val="000F5447"/>
    <w:rsid w:val="000F6B97"/>
    <w:rsid w:val="00113E03"/>
    <w:rsid w:val="00114DF4"/>
    <w:rsid w:val="00120E4B"/>
    <w:rsid w:val="00131998"/>
    <w:rsid w:val="001825EB"/>
    <w:rsid w:val="001917F4"/>
    <w:rsid w:val="001943E3"/>
    <w:rsid w:val="00195AB6"/>
    <w:rsid w:val="00195DDD"/>
    <w:rsid w:val="001A5894"/>
    <w:rsid w:val="001B2901"/>
    <w:rsid w:val="001B785D"/>
    <w:rsid w:val="00231B18"/>
    <w:rsid w:val="0024468D"/>
    <w:rsid w:val="00260E11"/>
    <w:rsid w:val="00265394"/>
    <w:rsid w:val="00270AD3"/>
    <w:rsid w:val="00270F39"/>
    <w:rsid w:val="002915F7"/>
    <w:rsid w:val="00297473"/>
    <w:rsid w:val="002979D6"/>
    <w:rsid w:val="002A0DAE"/>
    <w:rsid w:val="002C3DE0"/>
    <w:rsid w:val="002D411B"/>
    <w:rsid w:val="002E148E"/>
    <w:rsid w:val="002F333F"/>
    <w:rsid w:val="00301E44"/>
    <w:rsid w:val="00303712"/>
    <w:rsid w:val="003054E9"/>
    <w:rsid w:val="00317B0E"/>
    <w:rsid w:val="0032555C"/>
    <w:rsid w:val="00346E3E"/>
    <w:rsid w:val="00350B9B"/>
    <w:rsid w:val="00352237"/>
    <w:rsid w:val="00362FA8"/>
    <w:rsid w:val="0038579F"/>
    <w:rsid w:val="003A0E75"/>
    <w:rsid w:val="003A53D4"/>
    <w:rsid w:val="003A7218"/>
    <w:rsid w:val="00416006"/>
    <w:rsid w:val="00431AB5"/>
    <w:rsid w:val="00475651"/>
    <w:rsid w:val="0047713C"/>
    <w:rsid w:val="00496054"/>
    <w:rsid w:val="004A1141"/>
    <w:rsid w:val="004A6435"/>
    <w:rsid w:val="004E4741"/>
    <w:rsid w:val="004F2FCF"/>
    <w:rsid w:val="004F5576"/>
    <w:rsid w:val="005034C1"/>
    <w:rsid w:val="0052587D"/>
    <w:rsid w:val="00551837"/>
    <w:rsid w:val="00582A13"/>
    <w:rsid w:val="00593039"/>
    <w:rsid w:val="005A10B5"/>
    <w:rsid w:val="005A6FE5"/>
    <w:rsid w:val="005C5CB4"/>
    <w:rsid w:val="005D03A8"/>
    <w:rsid w:val="005F28CA"/>
    <w:rsid w:val="00601ACB"/>
    <w:rsid w:val="00605BFC"/>
    <w:rsid w:val="006061EC"/>
    <w:rsid w:val="006309D3"/>
    <w:rsid w:val="0064430B"/>
    <w:rsid w:val="0064649A"/>
    <w:rsid w:val="00647257"/>
    <w:rsid w:val="00650E3A"/>
    <w:rsid w:val="00675070"/>
    <w:rsid w:val="00675A7B"/>
    <w:rsid w:val="00686311"/>
    <w:rsid w:val="006B0234"/>
    <w:rsid w:val="006B34E7"/>
    <w:rsid w:val="006C526F"/>
    <w:rsid w:val="00704763"/>
    <w:rsid w:val="00735456"/>
    <w:rsid w:val="00775ED3"/>
    <w:rsid w:val="00777FAA"/>
    <w:rsid w:val="007A1C92"/>
    <w:rsid w:val="007B0365"/>
    <w:rsid w:val="007C21EA"/>
    <w:rsid w:val="007F72E3"/>
    <w:rsid w:val="00800EC4"/>
    <w:rsid w:val="008054D2"/>
    <w:rsid w:val="00814A1E"/>
    <w:rsid w:val="00814AC6"/>
    <w:rsid w:val="00822152"/>
    <w:rsid w:val="00826356"/>
    <w:rsid w:val="00830C9D"/>
    <w:rsid w:val="0087595A"/>
    <w:rsid w:val="008A1D7C"/>
    <w:rsid w:val="008B4BE4"/>
    <w:rsid w:val="008B5D23"/>
    <w:rsid w:val="008C1E87"/>
    <w:rsid w:val="008C1F08"/>
    <w:rsid w:val="008E2740"/>
    <w:rsid w:val="008E4EEA"/>
    <w:rsid w:val="008E653A"/>
    <w:rsid w:val="008F71B2"/>
    <w:rsid w:val="009048F1"/>
    <w:rsid w:val="00912769"/>
    <w:rsid w:val="00917840"/>
    <w:rsid w:val="009179A7"/>
    <w:rsid w:val="00921ABD"/>
    <w:rsid w:val="00935705"/>
    <w:rsid w:val="009523F2"/>
    <w:rsid w:val="00960702"/>
    <w:rsid w:val="0099135A"/>
    <w:rsid w:val="009C1B19"/>
    <w:rsid w:val="009D2A0D"/>
    <w:rsid w:val="009F094E"/>
    <w:rsid w:val="009F0A01"/>
    <w:rsid w:val="00A150DE"/>
    <w:rsid w:val="00A16DDE"/>
    <w:rsid w:val="00A32033"/>
    <w:rsid w:val="00A33DCC"/>
    <w:rsid w:val="00A37F83"/>
    <w:rsid w:val="00A424B6"/>
    <w:rsid w:val="00A757C9"/>
    <w:rsid w:val="00A83AA1"/>
    <w:rsid w:val="00A91C34"/>
    <w:rsid w:val="00AC3009"/>
    <w:rsid w:val="00AE4994"/>
    <w:rsid w:val="00AF27CE"/>
    <w:rsid w:val="00AF5EB2"/>
    <w:rsid w:val="00AF62D1"/>
    <w:rsid w:val="00B0398E"/>
    <w:rsid w:val="00B054B5"/>
    <w:rsid w:val="00B12A43"/>
    <w:rsid w:val="00B44B53"/>
    <w:rsid w:val="00B64989"/>
    <w:rsid w:val="00B74D2F"/>
    <w:rsid w:val="00B857BA"/>
    <w:rsid w:val="00B978EE"/>
    <w:rsid w:val="00BA5C6E"/>
    <w:rsid w:val="00BC1E87"/>
    <w:rsid w:val="00BC21CE"/>
    <w:rsid w:val="00BC222F"/>
    <w:rsid w:val="00BC7217"/>
    <w:rsid w:val="00BD0D7C"/>
    <w:rsid w:val="00BD3ADF"/>
    <w:rsid w:val="00BD542B"/>
    <w:rsid w:val="00BF0198"/>
    <w:rsid w:val="00C12E59"/>
    <w:rsid w:val="00C164DD"/>
    <w:rsid w:val="00C17A5B"/>
    <w:rsid w:val="00C23E20"/>
    <w:rsid w:val="00C25F5F"/>
    <w:rsid w:val="00C4347C"/>
    <w:rsid w:val="00C525A3"/>
    <w:rsid w:val="00C625A2"/>
    <w:rsid w:val="00C750E3"/>
    <w:rsid w:val="00C866A2"/>
    <w:rsid w:val="00CB1CC5"/>
    <w:rsid w:val="00CB58FF"/>
    <w:rsid w:val="00CC3EBE"/>
    <w:rsid w:val="00CC50B3"/>
    <w:rsid w:val="00CD42AF"/>
    <w:rsid w:val="00CD4B51"/>
    <w:rsid w:val="00CF0268"/>
    <w:rsid w:val="00CF25BC"/>
    <w:rsid w:val="00D0025A"/>
    <w:rsid w:val="00D219B6"/>
    <w:rsid w:val="00D34C56"/>
    <w:rsid w:val="00D3562E"/>
    <w:rsid w:val="00D66216"/>
    <w:rsid w:val="00D81F96"/>
    <w:rsid w:val="00D90F38"/>
    <w:rsid w:val="00D91DA4"/>
    <w:rsid w:val="00D924A0"/>
    <w:rsid w:val="00DC621F"/>
    <w:rsid w:val="00DD6AE9"/>
    <w:rsid w:val="00DD6CC9"/>
    <w:rsid w:val="00DF0AF6"/>
    <w:rsid w:val="00E01EA4"/>
    <w:rsid w:val="00E03EDC"/>
    <w:rsid w:val="00E174C2"/>
    <w:rsid w:val="00E23B15"/>
    <w:rsid w:val="00E53E06"/>
    <w:rsid w:val="00E61E1E"/>
    <w:rsid w:val="00E74C63"/>
    <w:rsid w:val="00E77E1E"/>
    <w:rsid w:val="00EA12C0"/>
    <w:rsid w:val="00EA1E68"/>
    <w:rsid w:val="00EA55AD"/>
    <w:rsid w:val="00EB1FCC"/>
    <w:rsid w:val="00EE3747"/>
    <w:rsid w:val="00EF21B2"/>
    <w:rsid w:val="00F17768"/>
    <w:rsid w:val="00F302D3"/>
    <w:rsid w:val="00F437CD"/>
    <w:rsid w:val="00F54EF7"/>
    <w:rsid w:val="00F6347B"/>
    <w:rsid w:val="00FA46B9"/>
    <w:rsid w:val="00FB241F"/>
    <w:rsid w:val="00FB6F72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35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62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D356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562E"/>
  </w:style>
  <w:style w:type="table" w:styleId="a9">
    <w:name w:val="Table Grid"/>
    <w:basedOn w:val="a1"/>
    <w:uiPriority w:val="59"/>
    <w:rsid w:val="00BD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17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35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62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D356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562E"/>
  </w:style>
  <w:style w:type="table" w:styleId="a9">
    <w:name w:val="Table Grid"/>
    <w:basedOn w:val="a1"/>
    <w:uiPriority w:val="59"/>
    <w:rsid w:val="00BD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17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Complister</cp:lastModifiedBy>
  <cp:revision>7</cp:revision>
  <dcterms:created xsi:type="dcterms:W3CDTF">2018-01-25T06:08:00Z</dcterms:created>
  <dcterms:modified xsi:type="dcterms:W3CDTF">2018-01-26T10:15:00Z</dcterms:modified>
</cp:coreProperties>
</file>